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369B2" w14:textId="77777777" w:rsidR="007D4C5E" w:rsidRDefault="007D4C5E" w:rsidP="008E7DAE">
      <w:pPr>
        <w:spacing w:after="0" w:line="240" w:lineRule="auto"/>
        <w:jc w:val="center"/>
        <w:rPr>
          <w:rFonts w:ascii="Times New Roman" w:hAnsi="Times New Roman"/>
          <w:b/>
          <w:sz w:val="24"/>
          <w:szCs w:val="24"/>
          <w:lang w:val="pt-BR"/>
        </w:rPr>
      </w:pPr>
    </w:p>
    <w:p w14:paraId="0D0905AB" w14:textId="63A1AD6D" w:rsidR="00813A18" w:rsidRPr="00A232C9" w:rsidRDefault="00595CEB" w:rsidP="008E7DAE">
      <w:pPr>
        <w:spacing w:after="0" w:line="240" w:lineRule="auto"/>
        <w:jc w:val="center"/>
        <w:rPr>
          <w:rFonts w:ascii="Times New Roman" w:hAnsi="Times New Roman"/>
          <w:b/>
          <w:sz w:val="24"/>
          <w:szCs w:val="24"/>
          <w:lang w:val="pt-BR"/>
        </w:rPr>
      </w:pPr>
      <w:r w:rsidRPr="00A232C9">
        <w:rPr>
          <w:rFonts w:ascii="Times New Roman" w:hAnsi="Times New Roman"/>
          <w:b/>
          <w:sz w:val="24"/>
          <w:szCs w:val="24"/>
          <w:lang w:val="pt-BR"/>
        </w:rPr>
        <w:t>COMPARABILIDADE DA MENSURAÇÃO DAS PROPRIEDADES PARA INVESTIMENTO DAS COMPANHIAS ABERTAS LISTADAS NA BM&amp;FBOVESPA</w:t>
      </w:r>
    </w:p>
    <w:p w14:paraId="2E2B1D2E" w14:textId="77777777" w:rsidR="00595CEB" w:rsidRPr="00A232C9" w:rsidRDefault="00595CEB" w:rsidP="008E7DAE">
      <w:pPr>
        <w:spacing w:after="0" w:line="240" w:lineRule="auto"/>
        <w:jc w:val="center"/>
        <w:rPr>
          <w:rFonts w:ascii="Times New Roman" w:hAnsi="Times New Roman"/>
          <w:b/>
          <w:sz w:val="24"/>
          <w:szCs w:val="24"/>
          <w:lang w:val="pt-BR"/>
        </w:rPr>
      </w:pPr>
    </w:p>
    <w:p w14:paraId="470B400F" w14:textId="77777777" w:rsidR="00595CEB" w:rsidRPr="00A232C9" w:rsidRDefault="00595CEB" w:rsidP="008E7DAE">
      <w:pPr>
        <w:spacing w:after="0" w:line="240" w:lineRule="auto"/>
        <w:jc w:val="center"/>
        <w:rPr>
          <w:rFonts w:ascii="Times New Roman" w:hAnsi="Times New Roman"/>
          <w:b/>
          <w:sz w:val="24"/>
          <w:szCs w:val="24"/>
          <w:lang w:val="pt-BR"/>
        </w:rPr>
      </w:pPr>
    </w:p>
    <w:p w14:paraId="1D1B94FF" w14:textId="7781553A" w:rsidR="00D26A79" w:rsidRDefault="00D26A79" w:rsidP="008E7DAE">
      <w:pPr>
        <w:spacing w:after="0" w:line="240" w:lineRule="auto"/>
        <w:jc w:val="center"/>
        <w:rPr>
          <w:rFonts w:ascii="Times New Roman" w:hAnsi="Times New Roman"/>
          <w:b/>
          <w:sz w:val="24"/>
          <w:szCs w:val="24"/>
          <w:lang w:val="pt-BR"/>
        </w:rPr>
      </w:pPr>
      <w:r>
        <w:rPr>
          <w:rFonts w:ascii="Times New Roman" w:hAnsi="Times New Roman"/>
          <w:b/>
          <w:sz w:val="24"/>
          <w:szCs w:val="24"/>
          <w:lang w:val="pt-BR"/>
        </w:rPr>
        <w:t>E</w:t>
      </w:r>
      <w:r w:rsidR="00B11915">
        <w:rPr>
          <w:rFonts w:ascii="Times New Roman" w:hAnsi="Times New Roman"/>
          <w:b/>
          <w:sz w:val="24"/>
          <w:szCs w:val="24"/>
          <w:lang w:val="pt-BR"/>
        </w:rPr>
        <w:t>manuelle Frasson Guimarães</w:t>
      </w:r>
    </w:p>
    <w:p w14:paraId="4A0A0ED3" w14:textId="59E8D020" w:rsidR="00D26A79" w:rsidRPr="00B11915" w:rsidRDefault="009F0646" w:rsidP="008E7DAE">
      <w:pPr>
        <w:spacing w:after="0" w:line="240" w:lineRule="auto"/>
        <w:jc w:val="center"/>
        <w:rPr>
          <w:rFonts w:ascii="Times New Roman" w:hAnsi="Times New Roman"/>
          <w:sz w:val="24"/>
          <w:szCs w:val="24"/>
          <w:lang w:val="pt-BR"/>
        </w:rPr>
      </w:pPr>
      <w:r w:rsidRPr="00B11915">
        <w:rPr>
          <w:rFonts w:ascii="Times New Roman" w:hAnsi="Times New Roman"/>
          <w:sz w:val="24"/>
          <w:szCs w:val="24"/>
          <w:lang w:val="pt-BR"/>
        </w:rPr>
        <w:t>Universidade Federal de Santa Catarina</w:t>
      </w:r>
      <w:r w:rsidR="00D26A79" w:rsidRPr="00B11915">
        <w:rPr>
          <w:rFonts w:ascii="Times New Roman" w:hAnsi="Times New Roman"/>
          <w:sz w:val="24"/>
          <w:szCs w:val="24"/>
          <w:lang w:val="pt-BR"/>
        </w:rPr>
        <w:t xml:space="preserve"> (UFSC)</w:t>
      </w:r>
    </w:p>
    <w:p w14:paraId="0EC3380E" w14:textId="1FE1B0F1" w:rsidR="00D26A79" w:rsidRPr="00B11915" w:rsidRDefault="009F0646" w:rsidP="008E7DAE">
      <w:pPr>
        <w:spacing w:after="0" w:line="240" w:lineRule="auto"/>
        <w:jc w:val="center"/>
        <w:rPr>
          <w:rFonts w:ascii="Times New Roman" w:hAnsi="Times New Roman"/>
          <w:i/>
          <w:sz w:val="24"/>
          <w:szCs w:val="24"/>
          <w:lang w:val="pt-BR"/>
        </w:rPr>
      </w:pPr>
      <w:hyperlink r:id="rId9" w:history="1">
        <w:r w:rsidRPr="00B11915">
          <w:rPr>
            <w:rStyle w:val="Hyperlink"/>
            <w:rFonts w:ascii="Times New Roman" w:hAnsi="Times New Roman"/>
            <w:i/>
            <w:sz w:val="24"/>
            <w:szCs w:val="24"/>
            <w:lang w:val="pt-BR"/>
          </w:rPr>
          <w:t>emanuellefgf@gmail.com</w:t>
        </w:r>
      </w:hyperlink>
    </w:p>
    <w:p w14:paraId="3769B306" w14:textId="77777777" w:rsidR="009F0646" w:rsidRDefault="009F0646" w:rsidP="008E7DAE">
      <w:pPr>
        <w:spacing w:after="0" w:line="240" w:lineRule="auto"/>
        <w:jc w:val="center"/>
        <w:rPr>
          <w:rFonts w:ascii="Times New Roman" w:hAnsi="Times New Roman"/>
          <w:b/>
          <w:sz w:val="24"/>
          <w:szCs w:val="24"/>
          <w:lang w:val="pt-BR"/>
        </w:rPr>
      </w:pPr>
    </w:p>
    <w:p w14:paraId="446D2EB1" w14:textId="77777777" w:rsidR="00B11915" w:rsidRDefault="00B11915" w:rsidP="008E7DAE">
      <w:pPr>
        <w:spacing w:after="0" w:line="240" w:lineRule="auto"/>
        <w:jc w:val="center"/>
        <w:rPr>
          <w:rFonts w:ascii="Times New Roman" w:hAnsi="Times New Roman"/>
          <w:b/>
          <w:sz w:val="24"/>
          <w:szCs w:val="24"/>
          <w:lang w:val="pt-BR"/>
        </w:rPr>
      </w:pPr>
    </w:p>
    <w:p w14:paraId="1FE28B93" w14:textId="6509FF12" w:rsidR="00D26A79" w:rsidRDefault="00B11915" w:rsidP="008E7DAE">
      <w:pPr>
        <w:spacing w:after="0" w:line="240" w:lineRule="auto"/>
        <w:jc w:val="center"/>
        <w:rPr>
          <w:rFonts w:ascii="Times New Roman" w:hAnsi="Times New Roman"/>
          <w:b/>
          <w:sz w:val="24"/>
          <w:szCs w:val="24"/>
          <w:lang w:val="pt-BR"/>
        </w:rPr>
      </w:pPr>
      <w:r>
        <w:rPr>
          <w:rFonts w:ascii="Times New Roman" w:hAnsi="Times New Roman"/>
          <w:b/>
          <w:sz w:val="24"/>
          <w:szCs w:val="24"/>
          <w:lang w:val="pt-BR"/>
        </w:rPr>
        <w:t>Suliani Rover</w:t>
      </w:r>
    </w:p>
    <w:p w14:paraId="2D4DCBFD" w14:textId="77777777" w:rsidR="009F0646" w:rsidRPr="00B11915" w:rsidRDefault="009F0646" w:rsidP="009F0646">
      <w:pPr>
        <w:spacing w:after="0" w:line="240" w:lineRule="auto"/>
        <w:jc w:val="center"/>
        <w:rPr>
          <w:rFonts w:ascii="Times New Roman" w:hAnsi="Times New Roman"/>
          <w:sz w:val="24"/>
          <w:szCs w:val="24"/>
          <w:lang w:val="pt-BR"/>
        </w:rPr>
      </w:pPr>
      <w:r w:rsidRPr="00B11915">
        <w:rPr>
          <w:rFonts w:ascii="Times New Roman" w:hAnsi="Times New Roman"/>
          <w:sz w:val="24"/>
          <w:szCs w:val="24"/>
          <w:lang w:val="pt-BR"/>
        </w:rPr>
        <w:t>Universidade Federal de Santa Catarina (UFSC)</w:t>
      </w:r>
    </w:p>
    <w:p w14:paraId="1FC8B89C" w14:textId="68C31F23" w:rsidR="00D26A79" w:rsidRPr="00B11915" w:rsidRDefault="009F0646" w:rsidP="008E7DAE">
      <w:pPr>
        <w:spacing w:after="0" w:line="240" w:lineRule="auto"/>
        <w:jc w:val="center"/>
        <w:rPr>
          <w:rFonts w:ascii="Times New Roman" w:hAnsi="Times New Roman"/>
          <w:i/>
          <w:sz w:val="24"/>
          <w:szCs w:val="24"/>
          <w:lang w:val="pt-BR"/>
        </w:rPr>
      </w:pPr>
      <w:hyperlink r:id="rId10" w:history="1">
        <w:r w:rsidRPr="00B11915">
          <w:rPr>
            <w:rStyle w:val="Hyperlink"/>
            <w:rFonts w:ascii="Times New Roman" w:hAnsi="Times New Roman"/>
            <w:i/>
            <w:sz w:val="24"/>
            <w:szCs w:val="24"/>
            <w:lang w:val="pt-BR"/>
          </w:rPr>
          <w:t>sulianirover@gmail.com</w:t>
        </w:r>
      </w:hyperlink>
    </w:p>
    <w:p w14:paraId="4228565A" w14:textId="77777777" w:rsidR="00D26A79" w:rsidRDefault="00D26A79" w:rsidP="008E7DAE">
      <w:pPr>
        <w:spacing w:after="0" w:line="240" w:lineRule="auto"/>
        <w:jc w:val="center"/>
        <w:rPr>
          <w:rFonts w:ascii="Times New Roman" w:hAnsi="Times New Roman"/>
          <w:b/>
          <w:sz w:val="24"/>
          <w:szCs w:val="24"/>
          <w:lang w:val="pt-BR"/>
        </w:rPr>
      </w:pPr>
    </w:p>
    <w:p w14:paraId="3C7F8EC4" w14:textId="77777777" w:rsidR="00D26A79" w:rsidRPr="00A232C9" w:rsidRDefault="00D26A79" w:rsidP="008E7DAE">
      <w:pPr>
        <w:spacing w:after="0" w:line="240" w:lineRule="auto"/>
        <w:jc w:val="center"/>
        <w:rPr>
          <w:rFonts w:ascii="Times New Roman" w:hAnsi="Times New Roman"/>
          <w:b/>
          <w:sz w:val="24"/>
          <w:szCs w:val="24"/>
          <w:lang w:val="pt-BR"/>
        </w:rPr>
      </w:pPr>
    </w:p>
    <w:p w14:paraId="039F52EB" w14:textId="77777777" w:rsidR="00024219" w:rsidRPr="00A232C9" w:rsidRDefault="00227E8C" w:rsidP="008E7DAE">
      <w:pPr>
        <w:spacing w:after="0" w:line="240" w:lineRule="auto"/>
        <w:rPr>
          <w:rFonts w:ascii="Times New Roman" w:hAnsi="Times New Roman"/>
          <w:b/>
          <w:sz w:val="24"/>
          <w:szCs w:val="24"/>
          <w:lang w:val="pt-BR"/>
        </w:rPr>
      </w:pPr>
      <w:r w:rsidRPr="00A232C9">
        <w:rPr>
          <w:rFonts w:ascii="Times New Roman" w:hAnsi="Times New Roman"/>
          <w:b/>
          <w:sz w:val="24"/>
          <w:szCs w:val="24"/>
          <w:lang w:val="pt-BR"/>
        </w:rPr>
        <w:t>Resumo</w:t>
      </w:r>
    </w:p>
    <w:p w14:paraId="123CA75D" w14:textId="2A375AD7" w:rsidR="0015758F" w:rsidRPr="00A232C9" w:rsidRDefault="00E342A5"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As</w:t>
      </w:r>
      <w:r w:rsidR="00024219" w:rsidRPr="00A232C9">
        <w:rPr>
          <w:rFonts w:ascii="Times New Roman" w:hAnsi="Times New Roman"/>
          <w:sz w:val="24"/>
          <w:szCs w:val="24"/>
          <w:lang w:val="pt-BR"/>
        </w:rPr>
        <w:t xml:space="preserve"> normas internacionais </w:t>
      </w:r>
      <w:r w:rsidR="00B125F6" w:rsidRPr="00A232C9">
        <w:rPr>
          <w:rFonts w:ascii="Times New Roman" w:hAnsi="Times New Roman"/>
          <w:sz w:val="24"/>
          <w:szCs w:val="24"/>
          <w:lang w:val="pt-BR"/>
        </w:rPr>
        <w:t>simbolizaram</w:t>
      </w:r>
      <w:r w:rsidR="00024219" w:rsidRPr="00A232C9">
        <w:rPr>
          <w:rFonts w:ascii="Times New Roman" w:hAnsi="Times New Roman"/>
          <w:sz w:val="24"/>
          <w:szCs w:val="24"/>
          <w:lang w:val="pt-BR"/>
        </w:rPr>
        <w:t xml:space="preserve"> o início </w:t>
      </w:r>
      <w:r w:rsidR="00B125F6" w:rsidRPr="00A232C9">
        <w:rPr>
          <w:rFonts w:ascii="Times New Roman" w:hAnsi="Times New Roman"/>
          <w:sz w:val="24"/>
          <w:szCs w:val="24"/>
          <w:lang w:val="pt-BR"/>
        </w:rPr>
        <w:t>da</w:t>
      </w:r>
      <w:r w:rsidR="00024219" w:rsidRPr="00A232C9">
        <w:rPr>
          <w:rFonts w:ascii="Times New Roman" w:hAnsi="Times New Roman"/>
          <w:sz w:val="24"/>
          <w:szCs w:val="24"/>
          <w:lang w:val="pt-BR"/>
        </w:rPr>
        <w:t xml:space="preserve"> harmonização dos padrões contábeis que inclui, entre outras características qualitativas, </w:t>
      </w:r>
      <w:r w:rsidR="00195D2B" w:rsidRPr="00A232C9">
        <w:rPr>
          <w:rFonts w:ascii="Times New Roman" w:hAnsi="Times New Roman"/>
          <w:sz w:val="24"/>
          <w:szCs w:val="24"/>
          <w:lang w:val="pt-BR"/>
        </w:rPr>
        <w:t xml:space="preserve">a </w:t>
      </w:r>
      <w:r w:rsidR="00024219" w:rsidRPr="00A232C9">
        <w:rPr>
          <w:rFonts w:ascii="Times New Roman" w:hAnsi="Times New Roman"/>
          <w:sz w:val="24"/>
          <w:szCs w:val="24"/>
          <w:lang w:val="pt-BR"/>
        </w:rPr>
        <w:t xml:space="preserve">comparabilidade das informações contábeis. O CPC 28 (2009) </w:t>
      </w:r>
      <w:r w:rsidR="0015758F" w:rsidRPr="00A232C9">
        <w:rPr>
          <w:rFonts w:ascii="Times New Roman" w:hAnsi="Times New Roman"/>
          <w:sz w:val="24"/>
          <w:szCs w:val="24"/>
          <w:lang w:val="pt-BR"/>
        </w:rPr>
        <w:t xml:space="preserve">permite escolhas contábeis </w:t>
      </w:r>
      <w:r w:rsidR="00B125F6" w:rsidRPr="00A232C9">
        <w:rPr>
          <w:rFonts w:ascii="Times New Roman" w:hAnsi="Times New Roman"/>
          <w:sz w:val="24"/>
          <w:szCs w:val="24"/>
          <w:lang w:val="pt-BR"/>
        </w:rPr>
        <w:t xml:space="preserve">entre o método de custo e de valor justo </w:t>
      </w:r>
      <w:r w:rsidR="0015758F" w:rsidRPr="00A232C9">
        <w:rPr>
          <w:rFonts w:ascii="Times New Roman" w:hAnsi="Times New Roman"/>
          <w:sz w:val="24"/>
          <w:szCs w:val="24"/>
          <w:lang w:val="pt-BR"/>
        </w:rPr>
        <w:t>na mensuração das Propriedades para Investimento (PPI</w:t>
      </w:r>
      <w:r w:rsidR="00B125F6" w:rsidRPr="00A232C9">
        <w:rPr>
          <w:rFonts w:ascii="Times New Roman" w:hAnsi="Times New Roman"/>
          <w:sz w:val="24"/>
          <w:szCs w:val="24"/>
          <w:lang w:val="pt-BR"/>
        </w:rPr>
        <w:t>)</w:t>
      </w:r>
      <w:r w:rsidR="0015758F" w:rsidRPr="00A232C9">
        <w:rPr>
          <w:rFonts w:ascii="Times New Roman" w:hAnsi="Times New Roman"/>
          <w:sz w:val="24"/>
          <w:szCs w:val="24"/>
          <w:lang w:val="pt-BR"/>
        </w:rPr>
        <w:t xml:space="preserve">. </w:t>
      </w:r>
      <w:r w:rsidR="009A6879" w:rsidRPr="00A232C9">
        <w:rPr>
          <w:rFonts w:ascii="Times New Roman" w:hAnsi="Times New Roman"/>
          <w:sz w:val="24"/>
          <w:szCs w:val="24"/>
          <w:lang w:val="pt-BR"/>
        </w:rPr>
        <w:t>O</w:t>
      </w:r>
      <w:r w:rsidR="0015758F" w:rsidRPr="00A232C9">
        <w:rPr>
          <w:rFonts w:ascii="Times New Roman" w:hAnsi="Times New Roman"/>
          <w:sz w:val="24"/>
          <w:szCs w:val="24"/>
          <w:lang w:val="pt-BR"/>
        </w:rPr>
        <w:t xml:space="preserve"> objetivo </w:t>
      </w:r>
      <w:r w:rsidR="00B96A63">
        <w:rPr>
          <w:rFonts w:ascii="Times New Roman" w:hAnsi="Times New Roman"/>
          <w:sz w:val="24"/>
          <w:szCs w:val="24"/>
          <w:lang w:val="pt-BR"/>
        </w:rPr>
        <w:t xml:space="preserve">geral </w:t>
      </w:r>
      <w:r w:rsidR="0015758F" w:rsidRPr="00A232C9">
        <w:rPr>
          <w:rFonts w:ascii="Times New Roman" w:hAnsi="Times New Roman"/>
          <w:sz w:val="24"/>
          <w:szCs w:val="24"/>
          <w:lang w:val="pt-BR"/>
        </w:rPr>
        <w:t xml:space="preserve">deste artigo é verificar o nível de comparabilidade da mensuração após o reconhecimento inicial das </w:t>
      </w:r>
      <w:r w:rsidR="009016B9" w:rsidRPr="00A232C9">
        <w:rPr>
          <w:rFonts w:ascii="Times New Roman" w:hAnsi="Times New Roman"/>
          <w:sz w:val="24"/>
          <w:szCs w:val="24"/>
          <w:lang w:val="pt-BR"/>
        </w:rPr>
        <w:t>PPI</w:t>
      </w:r>
      <w:r w:rsidR="0015758F" w:rsidRPr="00A232C9">
        <w:rPr>
          <w:rFonts w:ascii="Times New Roman" w:hAnsi="Times New Roman"/>
          <w:sz w:val="24"/>
          <w:szCs w:val="24"/>
          <w:lang w:val="pt-BR"/>
        </w:rPr>
        <w:t xml:space="preserve"> das companhias abertas listadas na BM&amp;FBOVESPA. A amostra é composta p</w:t>
      </w:r>
      <w:r w:rsidR="00565B2D" w:rsidRPr="00A232C9">
        <w:rPr>
          <w:rFonts w:ascii="Times New Roman" w:hAnsi="Times New Roman"/>
          <w:sz w:val="24"/>
          <w:szCs w:val="24"/>
          <w:lang w:val="pt-BR"/>
        </w:rPr>
        <w:t>elas</w:t>
      </w:r>
      <w:r w:rsidR="0015758F" w:rsidRPr="00A232C9">
        <w:rPr>
          <w:rFonts w:ascii="Times New Roman" w:hAnsi="Times New Roman"/>
          <w:sz w:val="24"/>
          <w:szCs w:val="24"/>
          <w:lang w:val="pt-BR"/>
        </w:rPr>
        <w:t xml:space="preserve"> 91 empresas </w:t>
      </w:r>
      <w:r w:rsidR="00565B2D" w:rsidRPr="00A232C9">
        <w:rPr>
          <w:rFonts w:ascii="Times New Roman" w:hAnsi="Times New Roman"/>
          <w:sz w:val="24"/>
          <w:szCs w:val="24"/>
          <w:lang w:val="pt-BR"/>
        </w:rPr>
        <w:t xml:space="preserve">que </w:t>
      </w:r>
      <w:r w:rsidR="00B125F6" w:rsidRPr="00A232C9">
        <w:rPr>
          <w:rFonts w:ascii="Times New Roman" w:hAnsi="Times New Roman"/>
          <w:sz w:val="24"/>
          <w:szCs w:val="24"/>
          <w:lang w:val="pt-BR"/>
        </w:rPr>
        <w:t>apresentar</w:t>
      </w:r>
      <w:r w:rsidR="00565B2D" w:rsidRPr="00A232C9">
        <w:rPr>
          <w:rFonts w:ascii="Times New Roman" w:hAnsi="Times New Roman"/>
          <w:sz w:val="24"/>
          <w:szCs w:val="24"/>
          <w:lang w:val="pt-BR"/>
        </w:rPr>
        <w:t>a</w:t>
      </w:r>
      <w:r w:rsidR="00B125F6" w:rsidRPr="00A232C9">
        <w:rPr>
          <w:rFonts w:ascii="Times New Roman" w:hAnsi="Times New Roman"/>
          <w:sz w:val="24"/>
          <w:szCs w:val="24"/>
          <w:lang w:val="pt-BR"/>
        </w:rPr>
        <w:t>m</w:t>
      </w:r>
      <w:r w:rsidR="0046322F" w:rsidRPr="00A232C9">
        <w:rPr>
          <w:rFonts w:ascii="Times New Roman" w:hAnsi="Times New Roman"/>
          <w:sz w:val="24"/>
          <w:szCs w:val="24"/>
          <w:lang w:val="pt-BR"/>
        </w:rPr>
        <w:t xml:space="preserve"> saldo de PPI em</w:t>
      </w:r>
      <w:r w:rsidR="0015758F" w:rsidRPr="00A232C9">
        <w:rPr>
          <w:rFonts w:ascii="Times New Roman" w:hAnsi="Times New Roman"/>
          <w:sz w:val="24"/>
          <w:szCs w:val="24"/>
          <w:lang w:val="pt-BR"/>
        </w:rPr>
        <w:t xml:space="preserve"> 2015. Os dados foram coletados nas Demonstrações Financeiras Padronizadas e nas Notas Explicativas.</w:t>
      </w:r>
      <w:r w:rsidR="00565B2D" w:rsidRPr="00A232C9">
        <w:rPr>
          <w:rFonts w:ascii="Times New Roman" w:hAnsi="Times New Roman"/>
          <w:sz w:val="24"/>
          <w:szCs w:val="24"/>
          <w:lang w:val="pt-BR"/>
        </w:rPr>
        <w:t xml:space="preserve"> P</w:t>
      </w:r>
      <w:r w:rsidR="0015758F" w:rsidRPr="00A232C9">
        <w:rPr>
          <w:rFonts w:ascii="Times New Roman" w:hAnsi="Times New Roman"/>
          <w:sz w:val="24"/>
          <w:szCs w:val="24"/>
          <w:lang w:val="pt-BR"/>
        </w:rPr>
        <w:t>ara verif</w:t>
      </w:r>
      <w:r w:rsidR="00173366" w:rsidRPr="00A232C9">
        <w:rPr>
          <w:rFonts w:ascii="Times New Roman" w:hAnsi="Times New Roman"/>
          <w:sz w:val="24"/>
          <w:szCs w:val="24"/>
          <w:lang w:val="pt-BR"/>
        </w:rPr>
        <w:t xml:space="preserve">icar o nível de comparabilidade, </w:t>
      </w:r>
      <w:r w:rsidR="00865AAD" w:rsidRPr="00A232C9">
        <w:rPr>
          <w:rFonts w:ascii="Times New Roman" w:hAnsi="Times New Roman"/>
          <w:sz w:val="24"/>
          <w:szCs w:val="24"/>
          <w:lang w:val="pt-BR"/>
        </w:rPr>
        <w:t>foram utilizados</w:t>
      </w:r>
      <w:r w:rsidR="0015758F" w:rsidRPr="00A232C9">
        <w:rPr>
          <w:rFonts w:ascii="Times New Roman" w:hAnsi="Times New Roman"/>
          <w:sz w:val="24"/>
          <w:szCs w:val="24"/>
          <w:lang w:val="pt-BR"/>
        </w:rPr>
        <w:t xml:space="preserve"> o índice </w:t>
      </w:r>
      <w:r w:rsidR="00865AAD" w:rsidRPr="00A232C9">
        <w:rPr>
          <w:rFonts w:ascii="Times New Roman" w:hAnsi="Times New Roman"/>
          <w:sz w:val="24"/>
          <w:szCs w:val="24"/>
          <w:lang w:val="pt-BR"/>
        </w:rPr>
        <w:t xml:space="preserve">H introduzido por Van der Tas (1988) e o índice </w:t>
      </w:r>
      <w:r w:rsidR="0015758F" w:rsidRPr="00A232C9">
        <w:rPr>
          <w:rFonts w:ascii="Times New Roman" w:hAnsi="Times New Roman"/>
          <w:sz w:val="24"/>
          <w:szCs w:val="24"/>
          <w:lang w:val="pt-BR"/>
        </w:rPr>
        <w:t xml:space="preserve">T proposto por Taplin (2004). Os resultados </w:t>
      </w:r>
      <w:r w:rsidR="009016B9" w:rsidRPr="00A232C9">
        <w:rPr>
          <w:rFonts w:ascii="Times New Roman" w:hAnsi="Times New Roman"/>
          <w:sz w:val="24"/>
          <w:szCs w:val="24"/>
          <w:lang w:val="pt-BR"/>
        </w:rPr>
        <w:t>mostraram</w:t>
      </w:r>
      <w:r w:rsidR="0015758F" w:rsidRPr="00A232C9">
        <w:rPr>
          <w:rFonts w:ascii="Times New Roman" w:hAnsi="Times New Roman"/>
          <w:sz w:val="24"/>
          <w:szCs w:val="24"/>
          <w:lang w:val="pt-BR"/>
        </w:rPr>
        <w:t xml:space="preserve"> que 40% das empresas optaram pelo método de custo, 33% pelo método de valor justo e 24% não divulgaram o método utilizado. </w:t>
      </w:r>
      <w:r w:rsidR="00D6233C" w:rsidRPr="00A232C9">
        <w:rPr>
          <w:rFonts w:ascii="Times New Roman" w:hAnsi="Times New Roman"/>
          <w:sz w:val="24"/>
          <w:szCs w:val="24"/>
          <w:lang w:val="pt-BR"/>
        </w:rPr>
        <w:t>Adicionalmente</w:t>
      </w:r>
      <w:r w:rsidR="00355C37" w:rsidRPr="00A232C9">
        <w:rPr>
          <w:rFonts w:ascii="Times New Roman" w:hAnsi="Times New Roman"/>
          <w:sz w:val="24"/>
          <w:szCs w:val="24"/>
          <w:lang w:val="pt-BR"/>
        </w:rPr>
        <w:t xml:space="preserve">, observou-se que 58% das empresas optantes pelo método de custo divulgaram o valor justo. </w:t>
      </w:r>
      <w:r w:rsidR="009016B9" w:rsidRPr="00A232C9">
        <w:rPr>
          <w:rFonts w:ascii="Times New Roman" w:hAnsi="Times New Roman"/>
          <w:sz w:val="24"/>
          <w:szCs w:val="24"/>
          <w:lang w:val="pt-BR"/>
        </w:rPr>
        <w:t>Quanto</w:t>
      </w:r>
      <w:r w:rsidR="00355C37" w:rsidRPr="00A232C9">
        <w:rPr>
          <w:rFonts w:ascii="Times New Roman" w:hAnsi="Times New Roman"/>
          <w:sz w:val="24"/>
          <w:szCs w:val="24"/>
          <w:lang w:val="pt-BR"/>
        </w:rPr>
        <w:t xml:space="preserve"> </w:t>
      </w:r>
      <w:r w:rsidR="00216774" w:rsidRPr="00A232C9">
        <w:rPr>
          <w:rFonts w:ascii="Times New Roman" w:hAnsi="Times New Roman"/>
          <w:sz w:val="24"/>
          <w:szCs w:val="24"/>
          <w:lang w:val="pt-BR"/>
        </w:rPr>
        <w:t>à</w:t>
      </w:r>
      <w:r w:rsidR="00355C37" w:rsidRPr="00A232C9">
        <w:rPr>
          <w:rFonts w:ascii="Times New Roman" w:hAnsi="Times New Roman"/>
          <w:sz w:val="24"/>
          <w:szCs w:val="24"/>
          <w:lang w:val="pt-BR"/>
        </w:rPr>
        <w:t xml:space="preserve"> an</w:t>
      </w:r>
      <w:r w:rsidR="00E0535D" w:rsidRPr="00A232C9">
        <w:rPr>
          <w:rFonts w:ascii="Times New Roman" w:hAnsi="Times New Roman"/>
          <w:sz w:val="24"/>
          <w:szCs w:val="24"/>
          <w:lang w:val="pt-BR"/>
        </w:rPr>
        <w:t>á</w:t>
      </w:r>
      <w:r w:rsidR="00355C37" w:rsidRPr="00A232C9">
        <w:rPr>
          <w:rFonts w:ascii="Times New Roman" w:hAnsi="Times New Roman"/>
          <w:sz w:val="24"/>
          <w:szCs w:val="24"/>
          <w:lang w:val="pt-BR"/>
        </w:rPr>
        <w:t>lis</w:t>
      </w:r>
      <w:r w:rsidR="00216774" w:rsidRPr="00A232C9">
        <w:rPr>
          <w:rFonts w:ascii="Times New Roman" w:hAnsi="Times New Roman"/>
          <w:sz w:val="24"/>
          <w:szCs w:val="24"/>
          <w:lang w:val="pt-BR"/>
        </w:rPr>
        <w:t xml:space="preserve">e </w:t>
      </w:r>
      <w:r w:rsidR="009016B9" w:rsidRPr="00A232C9">
        <w:rPr>
          <w:rFonts w:ascii="Times New Roman" w:hAnsi="Times New Roman"/>
          <w:sz w:val="24"/>
          <w:szCs w:val="24"/>
          <w:lang w:val="pt-BR"/>
        </w:rPr>
        <w:t>de</w:t>
      </w:r>
      <w:r w:rsidR="00EB5387">
        <w:rPr>
          <w:rFonts w:ascii="Times New Roman" w:hAnsi="Times New Roman"/>
          <w:sz w:val="24"/>
          <w:szCs w:val="24"/>
          <w:lang w:val="pt-BR"/>
        </w:rPr>
        <w:t xml:space="preserve"> comparabilidade, </w:t>
      </w:r>
      <w:r w:rsidR="009016B9" w:rsidRPr="00A232C9">
        <w:rPr>
          <w:rFonts w:ascii="Times New Roman" w:hAnsi="Times New Roman"/>
          <w:sz w:val="24"/>
          <w:szCs w:val="24"/>
          <w:lang w:val="pt-BR"/>
        </w:rPr>
        <w:t>verificou-se</w:t>
      </w:r>
      <w:r w:rsidR="00355C37" w:rsidRPr="00A232C9">
        <w:rPr>
          <w:rFonts w:ascii="Times New Roman" w:hAnsi="Times New Roman"/>
          <w:sz w:val="24"/>
          <w:szCs w:val="24"/>
          <w:lang w:val="pt-BR"/>
        </w:rPr>
        <w:t xml:space="preserve"> um nível médio </w:t>
      </w:r>
      <w:r w:rsidR="007951FC" w:rsidRPr="00A232C9">
        <w:rPr>
          <w:rFonts w:ascii="Times New Roman" w:hAnsi="Times New Roman"/>
          <w:sz w:val="24"/>
          <w:szCs w:val="24"/>
          <w:lang w:val="pt-BR"/>
        </w:rPr>
        <w:t>para a amostra</w:t>
      </w:r>
      <w:r w:rsidR="00355C37" w:rsidRPr="00A232C9">
        <w:rPr>
          <w:rFonts w:ascii="Times New Roman" w:hAnsi="Times New Roman"/>
          <w:sz w:val="24"/>
          <w:szCs w:val="24"/>
          <w:lang w:val="pt-BR"/>
        </w:rPr>
        <w:t xml:space="preserve"> de acordo com a primeira abordagem </w:t>
      </w:r>
      <w:r w:rsidR="00CB6925" w:rsidRPr="00A232C9">
        <w:rPr>
          <w:rFonts w:ascii="Times New Roman" w:hAnsi="Times New Roman"/>
          <w:sz w:val="24"/>
          <w:szCs w:val="24"/>
          <w:lang w:val="pt-BR"/>
        </w:rPr>
        <w:t>dos índices T e H</w:t>
      </w:r>
      <w:r w:rsidR="00B125F6" w:rsidRPr="00A232C9">
        <w:rPr>
          <w:rFonts w:ascii="Times New Roman" w:hAnsi="Times New Roman"/>
          <w:sz w:val="24"/>
          <w:szCs w:val="24"/>
          <w:lang w:val="pt-BR"/>
        </w:rPr>
        <w:t xml:space="preserve">, porém </w:t>
      </w:r>
      <w:r w:rsidR="00CB6925" w:rsidRPr="00A232C9">
        <w:rPr>
          <w:rFonts w:ascii="Times New Roman" w:hAnsi="Times New Roman"/>
          <w:sz w:val="24"/>
          <w:szCs w:val="24"/>
          <w:lang w:val="pt-BR"/>
        </w:rPr>
        <w:t xml:space="preserve">com valores </w:t>
      </w:r>
      <w:r w:rsidR="00B125F6" w:rsidRPr="00A232C9">
        <w:rPr>
          <w:rFonts w:ascii="Times New Roman" w:hAnsi="Times New Roman"/>
          <w:sz w:val="24"/>
          <w:szCs w:val="24"/>
          <w:lang w:val="pt-BR"/>
        </w:rPr>
        <w:t>bem próxim</w:t>
      </w:r>
      <w:r w:rsidR="00CB6925" w:rsidRPr="00A232C9">
        <w:rPr>
          <w:rFonts w:ascii="Times New Roman" w:hAnsi="Times New Roman"/>
          <w:sz w:val="24"/>
          <w:szCs w:val="24"/>
          <w:lang w:val="pt-BR"/>
        </w:rPr>
        <w:t>os</w:t>
      </w:r>
      <w:r w:rsidR="00B125F6" w:rsidRPr="00A232C9">
        <w:rPr>
          <w:rFonts w:ascii="Times New Roman" w:hAnsi="Times New Roman"/>
          <w:sz w:val="24"/>
          <w:szCs w:val="24"/>
          <w:lang w:val="pt-BR"/>
        </w:rPr>
        <w:t xml:space="preserve"> a um nível baixo.</w:t>
      </w:r>
    </w:p>
    <w:p w14:paraId="3BED51C8" w14:textId="77777777" w:rsidR="002F17F4" w:rsidRDefault="002F17F4" w:rsidP="008E7DAE">
      <w:pPr>
        <w:spacing w:after="0" w:line="240" w:lineRule="auto"/>
        <w:jc w:val="both"/>
        <w:rPr>
          <w:rFonts w:ascii="Times New Roman" w:hAnsi="Times New Roman"/>
          <w:sz w:val="24"/>
          <w:szCs w:val="24"/>
          <w:lang w:val="pt-BR"/>
        </w:rPr>
      </w:pPr>
    </w:p>
    <w:p w14:paraId="7D7BE84E" w14:textId="77777777" w:rsidR="003B2E28" w:rsidRPr="00A232C9" w:rsidRDefault="003B2E28" w:rsidP="008E7DAE">
      <w:pPr>
        <w:spacing w:after="0" w:line="240" w:lineRule="auto"/>
        <w:jc w:val="both"/>
        <w:rPr>
          <w:rFonts w:ascii="Times New Roman" w:hAnsi="Times New Roman"/>
          <w:sz w:val="24"/>
          <w:szCs w:val="24"/>
          <w:lang w:val="pt-BR"/>
        </w:rPr>
      </w:pPr>
    </w:p>
    <w:p w14:paraId="07D8E758" w14:textId="67D6FCA1" w:rsidR="0015758F" w:rsidRDefault="00595CEB" w:rsidP="008E7DAE">
      <w:pPr>
        <w:spacing w:after="0" w:line="240" w:lineRule="auto"/>
        <w:jc w:val="both"/>
        <w:rPr>
          <w:rFonts w:ascii="Times New Roman" w:hAnsi="Times New Roman"/>
          <w:sz w:val="24"/>
          <w:szCs w:val="24"/>
          <w:lang w:val="pt-BR"/>
        </w:rPr>
      </w:pPr>
      <w:r w:rsidRPr="00B11915">
        <w:rPr>
          <w:rFonts w:ascii="Times New Roman" w:hAnsi="Times New Roman"/>
          <w:b/>
          <w:sz w:val="24"/>
          <w:szCs w:val="24"/>
          <w:lang w:val="pt-BR"/>
        </w:rPr>
        <w:t>Palavras-</w:t>
      </w:r>
      <w:r w:rsidR="005D410C" w:rsidRPr="00B11915">
        <w:rPr>
          <w:rFonts w:ascii="Times New Roman" w:hAnsi="Times New Roman"/>
          <w:b/>
          <w:sz w:val="24"/>
          <w:szCs w:val="24"/>
          <w:lang w:val="pt-BR"/>
        </w:rPr>
        <w:t>c</w:t>
      </w:r>
      <w:r w:rsidR="0015758F" w:rsidRPr="00B11915">
        <w:rPr>
          <w:rFonts w:ascii="Times New Roman" w:hAnsi="Times New Roman"/>
          <w:b/>
          <w:sz w:val="24"/>
          <w:szCs w:val="24"/>
          <w:lang w:val="pt-BR"/>
        </w:rPr>
        <w:t>have:</w:t>
      </w:r>
      <w:r w:rsidR="0015758F" w:rsidRPr="00A232C9">
        <w:rPr>
          <w:rFonts w:ascii="Times New Roman" w:hAnsi="Times New Roman"/>
          <w:sz w:val="24"/>
          <w:szCs w:val="24"/>
          <w:lang w:val="pt-BR"/>
        </w:rPr>
        <w:t xml:space="preserve"> Comp</w:t>
      </w:r>
      <w:r w:rsidR="005D410C" w:rsidRPr="00A232C9">
        <w:rPr>
          <w:rFonts w:ascii="Times New Roman" w:hAnsi="Times New Roman"/>
          <w:sz w:val="24"/>
          <w:szCs w:val="24"/>
          <w:lang w:val="pt-BR"/>
        </w:rPr>
        <w:t>arabilidade;</w:t>
      </w:r>
      <w:r w:rsidR="0015758F" w:rsidRPr="00A232C9">
        <w:rPr>
          <w:rFonts w:ascii="Times New Roman" w:hAnsi="Times New Roman"/>
          <w:sz w:val="24"/>
          <w:szCs w:val="24"/>
          <w:lang w:val="pt-BR"/>
        </w:rPr>
        <w:t xml:space="preserve"> Escolhas Cont</w:t>
      </w:r>
      <w:r w:rsidR="005D410C" w:rsidRPr="00A232C9">
        <w:rPr>
          <w:rFonts w:ascii="Times New Roman" w:hAnsi="Times New Roman"/>
          <w:sz w:val="24"/>
          <w:szCs w:val="24"/>
          <w:lang w:val="pt-BR"/>
        </w:rPr>
        <w:t>ábeis;</w:t>
      </w:r>
      <w:r w:rsidR="0015758F" w:rsidRPr="00A232C9">
        <w:rPr>
          <w:rFonts w:ascii="Times New Roman" w:hAnsi="Times New Roman"/>
          <w:sz w:val="24"/>
          <w:szCs w:val="24"/>
          <w:lang w:val="pt-BR"/>
        </w:rPr>
        <w:t xml:space="preserve"> Propriedades para Investimento. </w:t>
      </w:r>
    </w:p>
    <w:p w14:paraId="7755EFF1" w14:textId="77777777" w:rsidR="00B11915" w:rsidRDefault="00B11915" w:rsidP="008E7DAE">
      <w:pPr>
        <w:spacing w:after="0" w:line="240" w:lineRule="auto"/>
        <w:jc w:val="both"/>
        <w:rPr>
          <w:rFonts w:ascii="Times New Roman" w:hAnsi="Times New Roman"/>
          <w:sz w:val="24"/>
          <w:szCs w:val="24"/>
          <w:lang w:val="pt-BR"/>
        </w:rPr>
      </w:pPr>
    </w:p>
    <w:p w14:paraId="48289641" w14:textId="77777777" w:rsidR="00B70D67" w:rsidRDefault="00B70D67" w:rsidP="008E7DAE">
      <w:pPr>
        <w:spacing w:after="0" w:line="240" w:lineRule="auto"/>
        <w:jc w:val="both"/>
        <w:rPr>
          <w:rFonts w:ascii="Times New Roman" w:hAnsi="Times New Roman"/>
          <w:sz w:val="24"/>
          <w:szCs w:val="24"/>
          <w:lang w:val="pt-BR"/>
        </w:rPr>
      </w:pPr>
    </w:p>
    <w:p w14:paraId="36E2E1EB" w14:textId="144E0AEE" w:rsidR="00B11915" w:rsidRPr="00A232C9" w:rsidRDefault="00B11915" w:rsidP="008E7DAE">
      <w:pPr>
        <w:spacing w:after="0" w:line="240" w:lineRule="auto"/>
        <w:jc w:val="both"/>
        <w:rPr>
          <w:rFonts w:ascii="Times New Roman" w:hAnsi="Times New Roman"/>
          <w:sz w:val="24"/>
          <w:szCs w:val="24"/>
          <w:lang w:val="pt-BR"/>
        </w:rPr>
      </w:pPr>
      <w:r w:rsidRPr="00B11915">
        <w:rPr>
          <w:rFonts w:ascii="Times New Roman" w:hAnsi="Times New Roman"/>
          <w:b/>
          <w:sz w:val="24"/>
          <w:szCs w:val="24"/>
          <w:lang w:val="pt-BR"/>
        </w:rPr>
        <w:t>Área Temática:</w:t>
      </w:r>
      <w:r>
        <w:rPr>
          <w:rFonts w:ascii="Times New Roman" w:hAnsi="Times New Roman"/>
          <w:sz w:val="24"/>
          <w:szCs w:val="24"/>
          <w:lang w:val="pt-BR"/>
        </w:rPr>
        <w:t xml:space="preserve"> Contabilidade Financeira.</w:t>
      </w:r>
    </w:p>
    <w:p w14:paraId="04F1A583" w14:textId="77777777" w:rsidR="00E342A5" w:rsidRPr="00A232C9" w:rsidRDefault="00E342A5" w:rsidP="008E7DAE">
      <w:pPr>
        <w:spacing w:after="0" w:line="240" w:lineRule="auto"/>
        <w:rPr>
          <w:rFonts w:ascii="Times New Roman" w:hAnsi="Times New Roman"/>
          <w:b/>
          <w:noProof w:val="0"/>
          <w:sz w:val="24"/>
          <w:szCs w:val="24"/>
          <w:lang w:val="pt-BR"/>
        </w:rPr>
      </w:pPr>
      <w:r w:rsidRPr="00A232C9">
        <w:rPr>
          <w:rFonts w:ascii="Times New Roman" w:hAnsi="Times New Roman"/>
          <w:b/>
          <w:sz w:val="24"/>
          <w:szCs w:val="24"/>
          <w:lang w:val="pt-BR"/>
        </w:rPr>
        <w:br w:type="page"/>
      </w:r>
    </w:p>
    <w:p w14:paraId="272FD471" w14:textId="6B8C6AFF" w:rsidR="00813A18" w:rsidRPr="00A232C9" w:rsidRDefault="007F2490" w:rsidP="008E7DAE">
      <w:pPr>
        <w:pStyle w:val="PargrafodaLista"/>
        <w:numPr>
          <w:ilvl w:val="0"/>
          <w:numId w:val="6"/>
        </w:numPr>
        <w:spacing w:after="0"/>
        <w:rPr>
          <w:rFonts w:ascii="Times New Roman" w:hAnsi="Times New Roman"/>
          <w:b/>
          <w:sz w:val="24"/>
          <w:szCs w:val="24"/>
        </w:rPr>
      </w:pPr>
      <w:r w:rsidRPr="00A232C9">
        <w:rPr>
          <w:rFonts w:ascii="Times New Roman" w:hAnsi="Times New Roman"/>
          <w:b/>
          <w:sz w:val="24"/>
          <w:szCs w:val="24"/>
        </w:rPr>
        <w:lastRenderedPageBreak/>
        <w:t>INTRODUÇÃO</w:t>
      </w:r>
    </w:p>
    <w:p w14:paraId="70F5B2BD" w14:textId="047AD8FD" w:rsidR="001B28A1" w:rsidRPr="00A232C9" w:rsidRDefault="00BA3DF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74570E" w:rsidRPr="00A232C9">
        <w:rPr>
          <w:rFonts w:ascii="Times New Roman" w:hAnsi="Times New Roman"/>
          <w:sz w:val="24"/>
          <w:szCs w:val="24"/>
          <w:lang w:val="pt-BR"/>
        </w:rPr>
        <w:t>O crescimento do</w:t>
      </w:r>
      <w:r w:rsidR="00D16BE6" w:rsidRPr="00A232C9">
        <w:rPr>
          <w:rFonts w:ascii="Times New Roman" w:hAnsi="Times New Roman"/>
          <w:sz w:val="24"/>
          <w:szCs w:val="24"/>
          <w:lang w:val="pt-BR"/>
        </w:rPr>
        <w:t>s</w:t>
      </w:r>
      <w:r w:rsidR="0074570E" w:rsidRPr="00A232C9">
        <w:rPr>
          <w:rFonts w:ascii="Times New Roman" w:hAnsi="Times New Roman"/>
          <w:sz w:val="24"/>
          <w:szCs w:val="24"/>
          <w:lang w:val="pt-BR"/>
        </w:rPr>
        <w:t xml:space="preserve"> mercado</w:t>
      </w:r>
      <w:r w:rsidR="00C20F91" w:rsidRPr="00A232C9">
        <w:rPr>
          <w:rFonts w:ascii="Times New Roman" w:hAnsi="Times New Roman"/>
          <w:sz w:val="24"/>
          <w:szCs w:val="24"/>
          <w:lang w:val="pt-BR"/>
        </w:rPr>
        <w:t>s</w:t>
      </w:r>
      <w:r w:rsidR="0074570E" w:rsidRPr="00A232C9">
        <w:rPr>
          <w:rFonts w:ascii="Times New Roman" w:hAnsi="Times New Roman"/>
          <w:sz w:val="24"/>
          <w:szCs w:val="24"/>
          <w:lang w:val="pt-BR"/>
        </w:rPr>
        <w:t xml:space="preserve"> de capitais </w:t>
      </w:r>
      <w:r w:rsidR="00D16BE6" w:rsidRPr="00A232C9">
        <w:rPr>
          <w:rFonts w:ascii="Times New Roman" w:hAnsi="Times New Roman"/>
          <w:sz w:val="24"/>
          <w:szCs w:val="24"/>
          <w:lang w:val="pt-BR"/>
        </w:rPr>
        <w:t xml:space="preserve">em diferentes países </w:t>
      </w:r>
      <w:r w:rsidR="0074570E" w:rsidRPr="00A232C9">
        <w:rPr>
          <w:rFonts w:ascii="Times New Roman" w:hAnsi="Times New Roman"/>
          <w:sz w:val="24"/>
          <w:szCs w:val="24"/>
          <w:lang w:val="pt-BR"/>
        </w:rPr>
        <w:t>promove</w:t>
      </w:r>
      <w:r w:rsidR="00D16BE6" w:rsidRPr="00A232C9">
        <w:rPr>
          <w:rFonts w:ascii="Times New Roman" w:hAnsi="Times New Roman"/>
          <w:sz w:val="24"/>
          <w:szCs w:val="24"/>
          <w:lang w:val="pt-BR"/>
        </w:rPr>
        <w:t>u</w:t>
      </w:r>
      <w:r w:rsidR="0074570E" w:rsidRPr="00A232C9">
        <w:rPr>
          <w:rFonts w:ascii="Times New Roman" w:hAnsi="Times New Roman"/>
          <w:sz w:val="24"/>
          <w:szCs w:val="24"/>
          <w:lang w:val="pt-BR"/>
        </w:rPr>
        <w:t xml:space="preserve"> </w:t>
      </w:r>
      <w:r w:rsidR="00017475" w:rsidRPr="00A232C9">
        <w:rPr>
          <w:rFonts w:ascii="Times New Roman" w:hAnsi="Times New Roman"/>
          <w:sz w:val="24"/>
          <w:szCs w:val="24"/>
          <w:lang w:val="pt-BR"/>
        </w:rPr>
        <w:t xml:space="preserve">uma maior </w:t>
      </w:r>
      <w:r w:rsidR="00D16BE6" w:rsidRPr="00A232C9">
        <w:rPr>
          <w:rFonts w:ascii="Times New Roman" w:hAnsi="Times New Roman"/>
          <w:sz w:val="24"/>
          <w:szCs w:val="24"/>
          <w:lang w:val="pt-BR"/>
        </w:rPr>
        <w:t>preocupação</w:t>
      </w:r>
      <w:r w:rsidR="00017475" w:rsidRPr="00A232C9">
        <w:rPr>
          <w:rFonts w:ascii="Times New Roman" w:hAnsi="Times New Roman"/>
          <w:sz w:val="24"/>
          <w:szCs w:val="24"/>
          <w:lang w:val="pt-BR"/>
        </w:rPr>
        <w:t xml:space="preserve"> quanto à evidenciação de informações </w:t>
      </w:r>
      <w:r w:rsidR="00D16BE6" w:rsidRPr="00D935C3">
        <w:rPr>
          <w:rFonts w:ascii="Times New Roman" w:hAnsi="Times New Roman"/>
          <w:sz w:val="24"/>
          <w:szCs w:val="24"/>
          <w:lang w:val="pt-BR"/>
        </w:rPr>
        <w:t xml:space="preserve">relevantes </w:t>
      </w:r>
      <w:r w:rsidR="00017475" w:rsidRPr="00D935C3">
        <w:rPr>
          <w:rFonts w:ascii="Times New Roman" w:hAnsi="Times New Roman"/>
          <w:sz w:val="24"/>
          <w:szCs w:val="24"/>
          <w:lang w:val="pt-BR"/>
        </w:rPr>
        <w:t>para atrair novos investidores e aumentar o nível de confiança da</w:t>
      </w:r>
      <w:r w:rsidR="00D16BE6" w:rsidRPr="00D935C3">
        <w:rPr>
          <w:rFonts w:ascii="Times New Roman" w:hAnsi="Times New Roman"/>
          <w:sz w:val="24"/>
          <w:szCs w:val="24"/>
          <w:lang w:val="pt-BR"/>
        </w:rPr>
        <w:t>s</w:t>
      </w:r>
      <w:r w:rsidR="00017475" w:rsidRPr="00D935C3">
        <w:rPr>
          <w:rFonts w:ascii="Times New Roman" w:hAnsi="Times New Roman"/>
          <w:sz w:val="24"/>
          <w:szCs w:val="24"/>
          <w:lang w:val="pt-BR"/>
        </w:rPr>
        <w:t xml:space="preserve"> empresa</w:t>
      </w:r>
      <w:r w:rsidR="00D16BE6" w:rsidRPr="00D935C3">
        <w:rPr>
          <w:rFonts w:ascii="Times New Roman" w:hAnsi="Times New Roman"/>
          <w:sz w:val="24"/>
          <w:szCs w:val="24"/>
          <w:lang w:val="pt-BR"/>
        </w:rPr>
        <w:t>s</w:t>
      </w:r>
      <w:r w:rsidR="00017475" w:rsidRPr="00D935C3">
        <w:rPr>
          <w:rFonts w:ascii="Times New Roman" w:hAnsi="Times New Roman"/>
          <w:sz w:val="24"/>
          <w:szCs w:val="24"/>
          <w:lang w:val="pt-BR"/>
        </w:rPr>
        <w:t xml:space="preserve"> frente ao mercado</w:t>
      </w:r>
      <w:r w:rsidR="00D16BE6" w:rsidRPr="00D935C3">
        <w:rPr>
          <w:rFonts w:ascii="Times New Roman" w:hAnsi="Times New Roman"/>
          <w:sz w:val="24"/>
          <w:szCs w:val="24"/>
          <w:lang w:val="pt-BR"/>
        </w:rPr>
        <w:t xml:space="preserve"> (</w:t>
      </w:r>
      <w:r w:rsidR="00D935C3" w:rsidRPr="00D935C3">
        <w:rPr>
          <w:rFonts w:ascii="Times New Roman" w:hAnsi="Times New Roman"/>
          <w:sz w:val="24"/>
          <w:szCs w:val="24"/>
          <w:lang w:val="pt-BR"/>
        </w:rPr>
        <w:t xml:space="preserve">VAZ </w:t>
      </w:r>
      <w:r w:rsidR="00D935C3" w:rsidRPr="00D935C3">
        <w:rPr>
          <w:rFonts w:ascii="Times New Roman" w:hAnsi="Times New Roman"/>
          <w:i/>
          <w:sz w:val="24"/>
          <w:szCs w:val="24"/>
          <w:lang w:val="pt-BR"/>
        </w:rPr>
        <w:t>et al.</w:t>
      </w:r>
      <w:r w:rsidR="00D935C3" w:rsidRPr="00D935C3">
        <w:rPr>
          <w:rFonts w:ascii="Times New Roman" w:hAnsi="Times New Roman"/>
          <w:sz w:val="24"/>
          <w:szCs w:val="24"/>
          <w:lang w:val="pt-BR"/>
        </w:rPr>
        <w:t>, 2010</w:t>
      </w:r>
      <w:r w:rsidR="00D16BE6" w:rsidRPr="00D935C3">
        <w:rPr>
          <w:rFonts w:ascii="Times New Roman" w:hAnsi="Times New Roman"/>
          <w:sz w:val="24"/>
          <w:szCs w:val="24"/>
          <w:lang w:val="pt-BR"/>
        </w:rPr>
        <w:t>)</w:t>
      </w:r>
      <w:r w:rsidR="00C20F91" w:rsidRPr="00D935C3">
        <w:rPr>
          <w:rFonts w:ascii="Times New Roman" w:hAnsi="Times New Roman"/>
          <w:sz w:val="24"/>
          <w:szCs w:val="24"/>
          <w:lang w:val="pt-BR"/>
        </w:rPr>
        <w:t>.</w:t>
      </w:r>
      <w:r w:rsidR="00C20F91" w:rsidRPr="00A232C9">
        <w:rPr>
          <w:rFonts w:ascii="Times New Roman" w:hAnsi="Times New Roman"/>
          <w:sz w:val="24"/>
          <w:szCs w:val="24"/>
          <w:lang w:val="pt-BR"/>
        </w:rPr>
        <w:t xml:space="preserve"> Assim, as normas i</w:t>
      </w:r>
      <w:r w:rsidR="0051352D" w:rsidRPr="00A232C9">
        <w:rPr>
          <w:rFonts w:ascii="Times New Roman" w:hAnsi="Times New Roman"/>
          <w:sz w:val="24"/>
          <w:szCs w:val="24"/>
          <w:lang w:val="pt-BR"/>
        </w:rPr>
        <w:t xml:space="preserve">nternacionais, denominadas de </w:t>
      </w:r>
      <w:r w:rsidR="00C20F91" w:rsidRPr="00A232C9">
        <w:rPr>
          <w:rFonts w:ascii="Times New Roman" w:hAnsi="Times New Roman"/>
          <w:i/>
          <w:sz w:val="24"/>
          <w:szCs w:val="24"/>
          <w:lang w:val="pt-BR"/>
        </w:rPr>
        <w:t>International Financial Reporting Standards</w:t>
      </w:r>
      <w:r w:rsidR="00CD4D0C" w:rsidRPr="00A232C9">
        <w:rPr>
          <w:rFonts w:ascii="Times New Roman" w:hAnsi="Times New Roman"/>
          <w:sz w:val="24"/>
          <w:szCs w:val="24"/>
          <w:lang w:val="pt-BR"/>
        </w:rPr>
        <w:t xml:space="preserve"> (IFRS)</w:t>
      </w:r>
      <w:r w:rsidR="00C20F91" w:rsidRPr="00A232C9">
        <w:rPr>
          <w:rFonts w:ascii="Times New Roman" w:hAnsi="Times New Roman"/>
          <w:sz w:val="24"/>
          <w:szCs w:val="24"/>
          <w:lang w:val="pt-BR"/>
        </w:rPr>
        <w:t xml:space="preserve">, elaboradas pelo </w:t>
      </w:r>
      <w:r w:rsidR="00C20F91" w:rsidRPr="00A232C9">
        <w:rPr>
          <w:rFonts w:ascii="Times New Roman" w:hAnsi="Times New Roman"/>
          <w:i/>
          <w:sz w:val="24"/>
          <w:szCs w:val="24"/>
          <w:lang w:val="pt-BR"/>
        </w:rPr>
        <w:t>International Accounting Standards Board</w:t>
      </w:r>
      <w:r w:rsidR="00C20F91" w:rsidRPr="00A232C9">
        <w:rPr>
          <w:rFonts w:ascii="Times New Roman" w:hAnsi="Times New Roman"/>
          <w:sz w:val="24"/>
          <w:szCs w:val="24"/>
          <w:lang w:val="pt-BR"/>
        </w:rPr>
        <w:t xml:space="preserve"> </w:t>
      </w:r>
      <w:r w:rsidR="005B5272" w:rsidRPr="00A232C9">
        <w:rPr>
          <w:rFonts w:ascii="Times New Roman" w:hAnsi="Times New Roman"/>
          <w:sz w:val="24"/>
          <w:szCs w:val="24"/>
          <w:lang w:val="pt-BR"/>
        </w:rPr>
        <w:t>(IASB)</w:t>
      </w:r>
      <w:r w:rsidR="00D35291" w:rsidRPr="00A232C9">
        <w:rPr>
          <w:rFonts w:ascii="Times New Roman" w:hAnsi="Times New Roman"/>
          <w:sz w:val="24"/>
          <w:szCs w:val="24"/>
          <w:lang w:val="pt-BR"/>
        </w:rPr>
        <w:t xml:space="preserve">, </w:t>
      </w:r>
      <w:r w:rsidR="00C20F91" w:rsidRPr="00A232C9">
        <w:rPr>
          <w:rFonts w:ascii="Times New Roman" w:hAnsi="Times New Roman"/>
          <w:sz w:val="24"/>
          <w:szCs w:val="24"/>
          <w:lang w:val="pt-BR"/>
        </w:rPr>
        <w:t xml:space="preserve">possuem como objetivo a harmonização dos padrões contábeis. No Brasil, o processo de convergência iniciou-se com a adoção da Lei </w:t>
      </w:r>
      <w:r w:rsidR="00C20F91" w:rsidRPr="00D935C3">
        <w:rPr>
          <w:rFonts w:ascii="Times New Roman" w:hAnsi="Times New Roman"/>
          <w:sz w:val="24"/>
          <w:szCs w:val="24"/>
          <w:lang w:val="pt-BR"/>
        </w:rPr>
        <w:t>11.638/2007, por</w:t>
      </w:r>
      <w:r w:rsidR="00881025" w:rsidRPr="00D935C3">
        <w:rPr>
          <w:rFonts w:ascii="Times New Roman" w:hAnsi="Times New Roman"/>
          <w:sz w:val="24"/>
          <w:szCs w:val="24"/>
          <w:lang w:val="pt-BR"/>
        </w:rPr>
        <w:t xml:space="preserve">ém somente a partir do ano de </w:t>
      </w:r>
      <w:r w:rsidR="00C20F91" w:rsidRPr="00D935C3">
        <w:rPr>
          <w:rFonts w:ascii="Times New Roman" w:hAnsi="Times New Roman"/>
          <w:sz w:val="24"/>
          <w:szCs w:val="24"/>
          <w:lang w:val="pt-BR"/>
        </w:rPr>
        <w:t>2010 foram exigidas obrigatoriamente as instruções (</w:t>
      </w:r>
      <w:r w:rsidR="00D935C3" w:rsidRPr="00D935C3">
        <w:rPr>
          <w:rFonts w:ascii="Times New Roman" w:hAnsi="Times New Roman"/>
          <w:sz w:val="24"/>
          <w:szCs w:val="24"/>
          <w:lang w:val="pt-BR"/>
        </w:rPr>
        <w:t>THOMAZ; KRONBAUER; SCHNEIDER, 2015</w:t>
      </w:r>
      <w:r w:rsidR="00881025" w:rsidRPr="00D935C3">
        <w:rPr>
          <w:rFonts w:ascii="Times New Roman" w:hAnsi="Times New Roman"/>
          <w:sz w:val="24"/>
          <w:szCs w:val="24"/>
          <w:lang w:val="pt-BR"/>
        </w:rPr>
        <w:t>).</w:t>
      </w:r>
    </w:p>
    <w:p w14:paraId="1CD6E5A3" w14:textId="1BB97654" w:rsidR="00E2552F" w:rsidRPr="00A232C9" w:rsidRDefault="00BF7D65"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Segundo </w:t>
      </w:r>
      <w:r w:rsidR="00CA5789" w:rsidRPr="00CA5789">
        <w:rPr>
          <w:rFonts w:ascii="Times New Roman" w:hAnsi="Times New Roman"/>
          <w:sz w:val="24"/>
          <w:szCs w:val="24"/>
          <w:lang w:val="pt-BR"/>
        </w:rPr>
        <w:t xml:space="preserve">Cairns </w:t>
      </w:r>
      <w:r w:rsidR="00CA5789" w:rsidRPr="00CA5789">
        <w:rPr>
          <w:rFonts w:ascii="Times New Roman" w:hAnsi="Times New Roman"/>
          <w:i/>
          <w:sz w:val="24"/>
          <w:szCs w:val="24"/>
          <w:lang w:val="pt-BR"/>
        </w:rPr>
        <w:t>et al.</w:t>
      </w:r>
      <w:r w:rsidR="00CA5789" w:rsidRPr="00CA5789">
        <w:rPr>
          <w:rFonts w:ascii="Times New Roman" w:hAnsi="Times New Roman"/>
          <w:sz w:val="24"/>
          <w:szCs w:val="24"/>
          <w:lang w:val="pt-BR"/>
        </w:rPr>
        <w:t xml:space="preserve"> (2011) </w:t>
      </w:r>
      <w:r w:rsidRPr="00CA5789">
        <w:rPr>
          <w:rFonts w:ascii="Times New Roman" w:hAnsi="Times New Roman"/>
          <w:sz w:val="24"/>
          <w:szCs w:val="24"/>
          <w:lang w:val="pt-BR"/>
        </w:rPr>
        <w:t>um</w:t>
      </w:r>
      <w:r w:rsidRPr="00A232C9">
        <w:rPr>
          <w:rFonts w:ascii="Times New Roman" w:hAnsi="Times New Roman"/>
          <w:sz w:val="24"/>
          <w:szCs w:val="24"/>
          <w:lang w:val="pt-BR"/>
        </w:rPr>
        <w:t xml:space="preserve"> dos principais objetivos na adoção das IFRS é melhorar a comparabilidade entre os relatórios financeiros. </w:t>
      </w:r>
      <w:r w:rsidR="009F79E2" w:rsidRPr="00A232C9">
        <w:rPr>
          <w:rFonts w:ascii="Times New Roman" w:hAnsi="Times New Roman"/>
          <w:sz w:val="24"/>
          <w:szCs w:val="24"/>
          <w:lang w:val="pt-BR"/>
        </w:rPr>
        <w:t>Essa</w:t>
      </w:r>
      <w:r w:rsidR="00E2552F" w:rsidRPr="00A232C9">
        <w:rPr>
          <w:rFonts w:ascii="Times New Roman" w:hAnsi="Times New Roman"/>
          <w:sz w:val="24"/>
          <w:szCs w:val="24"/>
          <w:lang w:val="pt-BR"/>
        </w:rPr>
        <w:t xml:space="preserve"> característica qualitativa,</w:t>
      </w:r>
      <w:r w:rsidRPr="00A232C9">
        <w:rPr>
          <w:rFonts w:ascii="Times New Roman" w:hAnsi="Times New Roman"/>
          <w:sz w:val="24"/>
          <w:szCs w:val="24"/>
          <w:lang w:val="pt-BR"/>
        </w:rPr>
        <w:t xml:space="preserve"> </w:t>
      </w:r>
      <w:r w:rsidR="00E2552F" w:rsidRPr="00A232C9">
        <w:rPr>
          <w:rFonts w:ascii="Times New Roman" w:hAnsi="Times New Roman"/>
          <w:sz w:val="24"/>
          <w:szCs w:val="24"/>
          <w:lang w:val="pt-BR"/>
        </w:rPr>
        <w:t xml:space="preserve">melhora a utilidade de uma informação contábil </w:t>
      </w:r>
      <w:r w:rsidR="00DB0D07" w:rsidRPr="00A232C9">
        <w:rPr>
          <w:rFonts w:ascii="Times New Roman" w:hAnsi="Times New Roman"/>
          <w:sz w:val="24"/>
          <w:szCs w:val="24"/>
          <w:lang w:val="pt-BR"/>
        </w:rPr>
        <w:t xml:space="preserve">pois </w:t>
      </w:r>
      <w:r w:rsidR="00E2552F" w:rsidRPr="00A232C9">
        <w:rPr>
          <w:rFonts w:ascii="Times New Roman" w:hAnsi="Times New Roman"/>
          <w:sz w:val="24"/>
          <w:szCs w:val="24"/>
          <w:lang w:val="pt-BR"/>
        </w:rPr>
        <w:t>permite a comparação de relatórios financeiros entre entidades diferentes ou entre a mesma entidade em períodos distintos</w:t>
      </w:r>
      <w:r w:rsidR="001D7275" w:rsidRPr="00A232C9">
        <w:rPr>
          <w:rFonts w:ascii="Times New Roman" w:hAnsi="Times New Roman"/>
          <w:sz w:val="24"/>
          <w:szCs w:val="24"/>
          <w:lang w:val="pt-BR"/>
        </w:rPr>
        <w:t xml:space="preserve"> (CPC 00 R1, 2011)</w:t>
      </w:r>
      <w:r w:rsidR="00E2552F" w:rsidRPr="00A232C9">
        <w:rPr>
          <w:rFonts w:ascii="Times New Roman" w:hAnsi="Times New Roman"/>
          <w:sz w:val="24"/>
          <w:szCs w:val="24"/>
          <w:lang w:val="pt-BR"/>
        </w:rPr>
        <w:t xml:space="preserve">. </w:t>
      </w:r>
      <w:r w:rsidR="001D7275" w:rsidRPr="00A232C9">
        <w:rPr>
          <w:rFonts w:ascii="Times New Roman" w:hAnsi="Times New Roman"/>
          <w:sz w:val="24"/>
          <w:szCs w:val="24"/>
          <w:lang w:val="pt-BR"/>
        </w:rPr>
        <w:t xml:space="preserve">Para viabilizar a comparabilidade, algumas normas </w:t>
      </w:r>
      <w:r w:rsidR="003B378A" w:rsidRPr="00A232C9">
        <w:rPr>
          <w:rFonts w:ascii="Times New Roman" w:hAnsi="Times New Roman"/>
          <w:sz w:val="24"/>
          <w:szCs w:val="24"/>
          <w:lang w:val="pt-BR"/>
        </w:rPr>
        <w:t xml:space="preserve">permitem </w:t>
      </w:r>
      <w:r w:rsidR="009A70A9" w:rsidRPr="00A232C9">
        <w:rPr>
          <w:rFonts w:ascii="Times New Roman" w:hAnsi="Times New Roman"/>
          <w:sz w:val="24"/>
          <w:szCs w:val="24"/>
          <w:lang w:val="pt-BR"/>
        </w:rPr>
        <w:t xml:space="preserve">à empresa optar </w:t>
      </w:r>
      <w:r w:rsidR="003B378A" w:rsidRPr="00A232C9">
        <w:rPr>
          <w:rFonts w:ascii="Times New Roman" w:hAnsi="Times New Roman"/>
          <w:sz w:val="24"/>
          <w:szCs w:val="24"/>
          <w:lang w:val="pt-BR"/>
        </w:rPr>
        <w:t>quanto ao método de contabilização</w:t>
      </w:r>
      <w:r w:rsidR="009A70A9" w:rsidRPr="00A232C9">
        <w:rPr>
          <w:rFonts w:ascii="Times New Roman" w:hAnsi="Times New Roman"/>
          <w:sz w:val="24"/>
          <w:szCs w:val="24"/>
          <w:lang w:val="pt-BR"/>
        </w:rPr>
        <w:t xml:space="preserve"> de determinados itens</w:t>
      </w:r>
      <w:r w:rsidR="003B378A" w:rsidRPr="00A232C9">
        <w:rPr>
          <w:rFonts w:ascii="Times New Roman" w:hAnsi="Times New Roman"/>
          <w:sz w:val="24"/>
          <w:szCs w:val="24"/>
          <w:lang w:val="pt-BR"/>
        </w:rPr>
        <w:t xml:space="preserve">, ou seja, </w:t>
      </w:r>
      <w:r w:rsidR="009A70A9" w:rsidRPr="00A232C9">
        <w:rPr>
          <w:rFonts w:ascii="Times New Roman" w:hAnsi="Times New Roman"/>
          <w:sz w:val="24"/>
          <w:szCs w:val="24"/>
          <w:lang w:val="pt-BR"/>
        </w:rPr>
        <w:t xml:space="preserve">promovem as </w:t>
      </w:r>
      <w:r w:rsidR="001D7275" w:rsidRPr="00A232C9">
        <w:rPr>
          <w:rFonts w:ascii="Times New Roman" w:hAnsi="Times New Roman"/>
          <w:sz w:val="24"/>
          <w:szCs w:val="24"/>
          <w:lang w:val="pt-BR"/>
        </w:rPr>
        <w:t xml:space="preserve">escolhas contábeis </w:t>
      </w:r>
      <w:r w:rsidR="00E2552F" w:rsidRPr="00A232C9">
        <w:rPr>
          <w:rFonts w:ascii="Times New Roman" w:hAnsi="Times New Roman"/>
          <w:sz w:val="24"/>
          <w:szCs w:val="24"/>
          <w:lang w:val="pt-BR"/>
        </w:rPr>
        <w:t>(</w:t>
      </w:r>
      <w:r w:rsidR="00E2552F" w:rsidRPr="00A232C9">
        <w:rPr>
          <w:rFonts w:ascii="Times New Roman" w:hAnsi="Times New Roman"/>
          <w:i/>
          <w:sz w:val="24"/>
          <w:szCs w:val="24"/>
          <w:lang w:val="pt-BR"/>
        </w:rPr>
        <w:t>accounting choices</w:t>
      </w:r>
      <w:r w:rsidR="00C759F7">
        <w:rPr>
          <w:rFonts w:ascii="Times New Roman" w:hAnsi="Times New Roman"/>
          <w:sz w:val="24"/>
          <w:szCs w:val="24"/>
          <w:lang w:val="pt-BR"/>
        </w:rPr>
        <w:t>)</w:t>
      </w:r>
      <w:r w:rsidR="001D7275" w:rsidRPr="00A232C9">
        <w:rPr>
          <w:rFonts w:ascii="Times New Roman" w:hAnsi="Times New Roman"/>
          <w:sz w:val="24"/>
          <w:szCs w:val="24"/>
          <w:lang w:val="pt-BR"/>
        </w:rPr>
        <w:t>.</w:t>
      </w:r>
    </w:p>
    <w:p w14:paraId="7B34641F" w14:textId="77777777" w:rsidR="001D7275" w:rsidRPr="00A232C9" w:rsidRDefault="00A25FC0"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 Pronu</w:t>
      </w:r>
      <w:r w:rsidR="009F79E2" w:rsidRPr="00A232C9">
        <w:rPr>
          <w:rFonts w:ascii="Times New Roman" w:hAnsi="Times New Roman"/>
          <w:sz w:val="24"/>
          <w:szCs w:val="24"/>
          <w:lang w:val="pt-BR"/>
        </w:rPr>
        <w:t>nciamento Técnico CPC 28 (2009) (</w:t>
      </w:r>
      <w:r w:rsidRPr="00A232C9">
        <w:rPr>
          <w:rFonts w:ascii="Times New Roman" w:hAnsi="Times New Roman"/>
          <w:i/>
          <w:sz w:val="24"/>
          <w:szCs w:val="24"/>
          <w:lang w:val="pt-BR"/>
        </w:rPr>
        <w:t>International Accounting Stadard</w:t>
      </w:r>
      <w:r w:rsidR="00581845" w:rsidRPr="00A232C9">
        <w:rPr>
          <w:rFonts w:ascii="Times New Roman" w:hAnsi="Times New Roman"/>
          <w:sz w:val="24"/>
          <w:szCs w:val="24"/>
          <w:lang w:val="pt-BR"/>
        </w:rPr>
        <w:t xml:space="preserve"> </w:t>
      </w:r>
      <w:r w:rsidR="002A5A19" w:rsidRPr="00A232C9">
        <w:rPr>
          <w:rFonts w:ascii="Times New Roman" w:hAnsi="Times New Roman"/>
          <w:sz w:val="24"/>
          <w:szCs w:val="24"/>
          <w:lang w:val="pt-BR"/>
        </w:rPr>
        <w:t xml:space="preserve">(IAS) </w:t>
      </w:r>
      <w:r w:rsidRPr="00A232C9">
        <w:rPr>
          <w:rFonts w:ascii="Times New Roman" w:hAnsi="Times New Roman"/>
          <w:sz w:val="24"/>
          <w:szCs w:val="24"/>
          <w:lang w:val="pt-BR"/>
        </w:rPr>
        <w:t>40</w:t>
      </w:r>
      <w:r w:rsidR="009F79E2" w:rsidRPr="00A232C9">
        <w:rPr>
          <w:rFonts w:ascii="Times New Roman" w:hAnsi="Times New Roman"/>
          <w:sz w:val="24"/>
          <w:szCs w:val="24"/>
          <w:lang w:val="pt-BR"/>
        </w:rPr>
        <w:t>)</w:t>
      </w:r>
      <w:r w:rsidRPr="00A232C9">
        <w:rPr>
          <w:rFonts w:ascii="Times New Roman" w:hAnsi="Times New Roman"/>
          <w:sz w:val="24"/>
          <w:szCs w:val="24"/>
          <w:lang w:val="pt-BR"/>
        </w:rPr>
        <w:t xml:space="preserve"> trata d</w:t>
      </w:r>
      <w:r w:rsidR="009F79E2" w:rsidRPr="00A232C9">
        <w:rPr>
          <w:rFonts w:ascii="Times New Roman" w:hAnsi="Times New Roman"/>
          <w:sz w:val="24"/>
          <w:szCs w:val="24"/>
          <w:lang w:val="pt-BR"/>
        </w:rPr>
        <w:t>e</w:t>
      </w:r>
      <w:r w:rsidRPr="00A232C9">
        <w:rPr>
          <w:rFonts w:ascii="Times New Roman" w:hAnsi="Times New Roman"/>
          <w:sz w:val="24"/>
          <w:szCs w:val="24"/>
          <w:lang w:val="pt-BR"/>
        </w:rPr>
        <w:t xml:space="preserve"> </w:t>
      </w:r>
      <w:r w:rsidR="001D7275" w:rsidRPr="00A232C9">
        <w:rPr>
          <w:rFonts w:ascii="Times New Roman" w:hAnsi="Times New Roman"/>
          <w:sz w:val="24"/>
          <w:szCs w:val="24"/>
          <w:lang w:val="pt-BR"/>
        </w:rPr>
        <w:t>Propriedades para I</w:t>
      </w:r>
      <w:r w:rsidRPr="00A232C9">
        <w:rPr>
          <w:rFonts w:ascii="Times New Roman" w:hAnsi="Times New Roman"/>
          <w:sz w:val="24"/>
          <w:szCs w:val="24"/>
          <w:lang w:val="pt-BR"/>
        </w:rPr>
        <w:t xml:space="preserve">nvestimento </w:t>
      </w:r>
      <w:r w:rsidR="00001236" w:rsidRPr="00A232C9">
        <w:rPr>
          <w:rFonts w:ascii="Times New Roman" w:hAnsi="Times New Roman"/>
          <w:sz w:val="24"/>
          <w:szCs w:val="24"/>
          <w:lang w:val="pt-BR"/>
        </w:rPr>
        <w:t xml:space="preserve">(PPI) </w:t>
      </w:r>
      <w:r w:rsidRPr="00A232C9">
        <w:rPr>
          <w:rFonts w:ascii="Times New Roman" w:hAnsi="Times New Roman"/>
          <w:sz w:val="24"/>
          <w:szCs w:val="24"/>
          <w:lang w:val="pt-BR"/>
        </w:rPr>
        <w:t>e permite</w:t>
      </w:r>
      <w:r w:rsidR="009F79E2" w:rsidRPr="00A232C9">
        <w:rPr>
          <w:rFonts w:ascii="Times New Roman" w:hAnsi="Times New Roman"/>
          <w:sz w:val="24"/>
          <w:szCs w:val="24"/>
          <w:lang w:val="pt-BR"/>
        </w:rPr>
        <w:t xml:space="preserve"> </w:t>
      </w:r>
      <w:r w:rsidRPr="00A232C9">
        <w:rPr>
          <w:rFonts w:ascii="Times New Roman" w:hAnsi="Times New Roman"/>
          <w:sz w:val="24"/>
          <w:szCs w:val="24"/>
          <w:lang w:val="pt-BR"/>
        </w:rPr>
        <w:t>a escolha contábil entre o método de custo e o de valor justo na mensuração após o reconhecimento inicial destas propriedades, que são mantidas para obtenção renda e/ou valorização de capital.</w:t>
      </w:r>
      <w:r w:rsidR="00001236" w:rsidRPr="00A232C9">
        <w:rPr>
          <w:rFonts w:ascii="Times New Roman" w:hAnsi="Times New Roman"/>
          <w:sz w:val="24"/>
          <w:szCs w:val="24"/>
          <w:lang w:val="pt-BR"/>
        </w:rPr>
        <w:t xml:space="preserve"> </w:t>
      </w:r>
    </w:p>
    <w:p w14:paraId="23F1E529" w14:textId="1C7954B6" w:rsidR="00001236" w:rsidRPr="00A232C9" w:rsidRDefault="00DE7E7B"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Como </w:t>
      </w:r>
      <w:r w:rsidR="00001236" w:rsidRPr="00A232C9">
        <w:rPr>
          <w:rFonts w:ascii="Times New Roman" w:hAnsi="Times New Roman"/>
          <w:sz w:val="24"/>
          <w:szCs w:val="24"/>
          <w:lang w:val="pt-BR"/>
        </w:rPr>
        <w:t xml:space="preserve">a existência de </w:t>
      </w:r>
      <w:r w:rsidR="001D7275" w:rsidRPr="00A232C9">
        <w:rPr>
          <w:rFonts w:ascii="Times New Roman" w:hAnsi="Times New Roman"/>
          <w:sz w:val="24"/>
          <w:szCs w:val="24"/>
          <w:lang w:val="pt-BR"/>
        </w:rPr>
        <w:t>escolhas contábeis</w:t>
      </w:r>
      <w:r w:rsidR="00001236" w:rsidRPr="00A232C9">
        <w:rPr>
          <w:rFonts w:ascii="Times New Roman" w:hAnsi="Times New Roman"/>
          <w:sz w:val="24"/>
          <w:szCs w:val="24"/>
          <w:lang w:val="pt-BR"/>
        </w:rPr>
        <w:t xml:space="preserve"> na mensuração das PPI pode influenciar</w:t>
      </w:r>
      <w:r w:rsidR="001D7275" w:rsidRPr="00A232C9">
        <w:rPr>
          <w:rFonts w:ascii="Times New Roman" w:hAnsi="Times New Roman"/>
          <w:sz w:val="24"/>
          <w:szCs w:val="24"/>
          <w:lang w:val="pt-BR"/>
        </w:rPr>
        <w:t xml:space="preserve"> a comparabilidade</w:t>
      </w:r>
      <w:r w:rsidR="00001236"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das informações </w:t>
      </w:r>
      <w:r w:rsidR="00001236" w:rsidRPr="00A232C9">
        <w:rPr>
          <w:rFonts w:ascii="Times New Roman" w:hAnsi="Times New Roman"/>
          <w:sz w:val="24"/>
          <w:szCs w:val="24"/>
          <w:lang w:val="pt-BR"/>
        </w:rPr>
        <w:t xml:space="preserve">entre os relatórios financeiros, </w:t>
      </w:r>
      <w:r w:rsidR="00BF0C9C" w:rsidRPr="00A232C9">
        <w:rPr>
          <w:rFonts w:ascii="Times New Roman" w:hAnsi="Times New Roman"/>
          <w:sz w:val="24"/>
          <w:szCs w:val="24"/>
          <w:lang w:val="pt-BR"/>
        </w:rPr>
        <w:t>este estudo apresent</w:t>
      </w:r>
      <w:r w:rsidR="00762A8C" w:rsidRPr="00A232C9">
        <w:rPr>
          <w:rFonts w:ascii="Times New Roman" w:hAnsi="Times New Roman"/>
          <w:sz w:val="24"/>
          <w:szCs w:val="24"/>
          <w:lang w:val="pt-BR"/>
        </w:rPr>
        <w:t>a</w:t>
      </w:r>
      <w:r w:rsidR="00BF0C9C" w:rsidRPr="00A232C9">
        <w:rPr>
          <w:rFonts w:ascii="Times New Roman" w:hAnsi="Times New Roman"/>
          <w:sz w:val="24"/>
          <w:szCs w:val="24"/>
          <w:lang w:val="pt-BR"/>
        </w:rPr>
        <w:t xml:space="preserve"> o seguinte </w:t>
      </w:r>
      <w:r w:rsidR="00001236" w:rsidRPr="00A232C9">
        <w:rPr>
          <w:rFonts w:ascii="Times New Roman" w:hAnsi="Times New Roman"/>
          <w:sz w:val="24"/>
          <w:szCs w:val="24"/>
          <w:lang w:val="pt-BR"/>
        </w:rPr>
        <w:t xml:space="preserve">problema de pesquisa: </w:t>
      </w:r>
      <w:r w:rsidR="00071C5C" w:rsidRPr="00A232C9">
        <w:rPr>
          <w:rFonts w:ascii="Times New Roman" w:hAnsi="Times New Roman"/>
          <w:sz w:val="24"/>
          <w:szCs w:val="24"/>
          <w:lang w:val="pt-BR"/>
        </w:rPr>
        <w:t>q</w:t>
      </w:r>
      <w:r w:rsidR="00001236" w:rsidRPr="00A232C9">
        <w:rPr>
          <w:rFonts w:ascii="Times New Roman" w:hAnsi="Times New Roman"/>
          <w:sz w:val="24"/>
          <w:szCs w:val="24"/>
          <w:lang w:val="pt-BR"/>
        </w:rPr>
        <w:t xml:space="preserve">ual é o nível de comparabilidade da mensuração após o reconhecimento inicial das propriedades para investimento das companhias abertas listadas na </w:t>
      </w:r>
      <w:r w:rsidR="004E3B23" w:rsidRPr="00A232C9">
        <w:rPr>
          <w:rFonts w:ascii="Times New Roman" w:hAnsi="Times New Roman"/>
          <w:sz w:val="24"/>
          <w:szCs w:val="24"/>
          <w:lang w:val="pt-BR"/>
        </w:rPr>
        <w:t>Bolsa de Valores, Mercadorias e Futuros de São Paulo (</w:t>
      </w:r>
      <w:r w:rsidR="00001236" w:rsidRPr="00A232C9">
        <w:rPr>
          <w:rFonts w:ascii="Times New Roman" w:hAnsi="Times New Roman"/>
          <w:sz w:val="24"/>
          <w:szCs w:val="24"/>
          <w:lang w:val="pt-BR"/>
        </w:rPr>
        <w:t>BM&amp;FBOVESPA</w:t>
      </w:r>
      <w:r w:rsidR="004E3B23" w:rsidRPr="00A232C9">
        <w:rPr>
          <w:rFonts w:ascii="Times New Roman" w:hAnsi="Times New Roman"/>
          <w:sz w:val="24"/>
          <w:szCs w:val="24"/>
          <w:lang w:val="pt-BR"/>
        </w:rPr>
        <w:t>)</w:t>
      </w:r>
      <w:r w:rsidR="00001236" w:rsidRPr="00A232C9">
        <w:rPr>
          <w:rFonts w:ascii="Times New Roman" w:hAnsi="Times New Roman"/>
          <w:sz w:val="24"/>
          <w:szCs w:val="24"/>
          <w:lang w:val="pt-BR"/>
        </w:rPr>
        <w:t>?</w:t>
      </w:r>
      <w:r w:rsidRPr="00A232C9">
        <w:rPr>
          <w:rFonts w:ascii="Times New Roman" w:hAnsi="Times New Roman"/>
          <w:sz w:val="24"/>
          <w:szCs w:val="24"/>
          <w:lang w:val="pt-BR"/>
        </w:rPr>
        <w:t xml:space="preserve"> </w:t>
      </w:r>
    </w:p>
    <w:p w14:paraId="11F11EF4" w14:textId="3AAEEB5C" w:rsidR="00BF0C9C" w:rsidRPr="00A232C9" w:rsidRDefault="00BF0C9C" w:rsidP="00455D34">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Neste contexto, o objetivo </w:t>
      </w:r>
      <w:r w:rsidR="00455D34" w:rsidRPr="00455D34">
        <w:rPr>
          <w:rFonts w:ascii="Times New Roman" w:hAnsi="Times New Roman"/>
          <w:sz w:val="24"/>
          <w:szCs w:val="24"/>
          <w:lang w:val="pt-BR"/>
        </w:rPr>
        <w:t xml:space="preserve">geral </w:t>
      </w:r>
      <w:r w:rsidRPr="00455D34">
        <w:rPr>
          <w:rFonts w:ascii="Times New Roman" w:hAnsi="Times New Roman"/>
          <w:sz w:val="24"/>
          <w:szCs w:val="24"/>
          <w:lang w:val="pt-BR"/>
        </w:rPr>
        <w:t>do artigo é verificar o nível de comparabilidade da mensuração após o reconhecimento inicial das propriedades para investimento das companhias ab</w:t>
      </w:r>
      <w:r w:rsidR="00762A8C" w:rsidRPr="00455D34">
        <w:rPr>
          <w:rFonts w:ascii="Times New Roman" w:hAnsi="Times New Roman"/>
          <w:sz w:val="24"/>
          <w:szCs w:val="24"/>
          <w:lang w:val="pt-BR"/>
        </w:rPr>
        <w:t xml:space="preserve">ertas listadas na BM&amp;FBOVESPA. </w:t>
      </w:r>
      <w:r w:rsidR="00455D34" w:rsidRPr="00455D34">
        <w:rPr>
          <w:rFonts w:ascii="Times New Roman" w:hAnsi="Times New Roman"/>
          <w:sz w:val="24"/>
          <w:szCs w:val="24"/>
        </w:rPr>
        <w:t>Por sua vez, os objetivos específicos podem ser definidos da seguinte forma: (i) identificar o método utilizado na mensuração das propriedades para investimento; (ii) averiguar o atendimento à finalidade de divulgação do valor justo prevista no CPC 28 (2009); e, (iii) analisar o nível de comparabilidade das companhias abertas listadas na BM&amp;FBOVESPA.</w:t>
      </w:r>
    </w:p>
    <w:p w14:paraId="6A3D2DEF" w14:textId="77777777" w:rsidR="00A83886" w:rsidRPr="00A232C9" w:rsidRDefault="00A83886"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 pesquisa justifica-se pela relevância do tema </w:t>
      </w:r>
      <w:r w:rsidR="003761F8" w:rsidRPr="00A232C9">
        <w:rPr>
          <w:rFonts w:ascii="Times New Roman" w:hAnsi="Times New Roman"/>
          <w:sz w:val="24"/>
          <w:szCs w:val="24"/>
          <w:lang w:val="pt-BR"/>
        </w:rPr>
        <w:t>visto que</w:t>
      </w:r>
      <w:r w:rsidRPr="00A232C9">
        <w:rPr>
          <w:rFonts w:ascii="Times New Roman" w:hAnsi="Times New Roman"/>
          <w:sz w:val="24"/>
          <w:szCs w:val="24"/>
          <w:lang w:val="pt-BR"/>
        </w:rPr>
        <w:t xml:space="preserve">, apesar da harmonização dos padrões contábeis definida pelas normas internacionais, existe flexibilidade na mensuração das PPI que pode influenciar na qualidade e na comparabilidade das informações. Assim, a falta de padrões equivalentes pode prejudicar a relevância das informações e a tomada de decisão de usuários internos e externos. </w:t>
      </w:r>
    </w:p>
    <w:p w14:paraId="7130F557" w14:textId="1156B297" w:rsidR="005372AD" w:rsidRDefault="00A83886"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Desta forma, o estudo pretende contribuir para a linha de pesquisa que avalia a influência das escolhas contábeis na comparabilidade dos relatórios financeiros</w:t>
      </w:r>
      <w:r w:rsidR="00D14DC7" w:rsidRPr="00A232C9">
        <w:rPr>
          <w:rFonts w:ascii="Times New Roman" w:hAnsi="Times New Roman"/>
          <w:sz w:val="24"/>
          <w:szCs w:val="24"/>
          <w:lang w:val="pt-BR"/>
        </w:rPr>
        <w:t xml:space="preserve"> de empresas brasileiras. </w:t>
      </w:r>
      <w:r w:rsidR="005372AD">
        <w:rPr>
          <w:rFonts w:ascii="Times New Roman" w:hAnsi="Times New Roman"/>
          <w:sz w:val="24"/>
          <w:szCs w:val="24"/>
          <w:lang w:val="pt-BR"/>
        </w:rPr>
        <w:t xml:space="preserve">Além disso, </w:t>
      </w:r>
      <w:r w:rsidR="005C23AE">
        <w:rPr>
          <w:rFonts w:ascii="Times New Roman" w:hAnsi="Times New Roman"/>
          <w:sz w:val="24"/>
          <w:szCs w:val="24"/>
          <w:lang w:val="pt-BR"/>
        </w:rPr>
        <w:t xml:space="preserve">a pesquisa contribui </w:t>
      </w:r>
      <w:r w:rsidR="00DD6B0D">
        <w:rPr>
          <w:rFonts w:ascii="Times New Roman" w:hAnsi="Times New Roman"/>
          <w:sz w:val="24"/>
          <w:szCs w:val="24"/>
          <w:lang w:val="pt-BR"/>
        </w:rPr>
        <w:t xml:space="preserve">para a literatura </w:t>
      </w:r>
      <w:r w:rsidR="005C23AE">
        <w:rPr>
          <w:rFonts w:ascii="Times New Roman" w:hAnsi="Times New Roman"/>
          <w:sz w:val="24"/>
          <w:szCs w:val="24"/>
          <w:lang w:val="pt-BR"/>
        </w:rPr>
        <w:t>por meio da utilização de índices de comparabilidade visto que poucos estudos</w:t>
      </w:r>
      <w:r w:rsidR="005372AD">
        <w:rPr>
          <w:rFonts w:ascii="Times New Roman" w:hAnsi="Times New Roman"/>
          <w:sz w:val="24"/>
          <w:szCs w:val="24"/>
          <w:lang w:val="pt-BR"/>
        </w:rPr>
        <w:t xml:space="preserve"> preocupam-se com a mensuração do nível de comparabilidade por meio de índices, revelando a existência de uma lacuna no tema.</w:t>
      </w:r>
    </w:p>
    <w:p w14:paraId="48182BF9" w14:textId="10449586" w:rsidR="00A83886" w:rsidRDefault="005372AD" w:rsidP="008E7DAE">
      <w:pPr>
        <w:spacing w:after="0" w:line="240" w:lineRule="auto"/>
        <w:ind w:firstLine="567"/>
        <w:jc w:val="both"/>
        <w:rPr>
          <w:rFonts w:ascii="Times New Roman" w:hAnsi="Times New Roman"/>
          <w:sz w:val="24"/>
          <w:szCs w:val="24"/>
          <w:lang w:val="pt-BR"/>
        </w:rPr>
      </w:pPr>
      <w:r>
        <w:rPr>
          <w:rFonts w:ascii="Times New Roman" w:hAnsi="Times New Roman"/>
          <w:sz w:val="24"/>
          <w:szCs w:val="24"/>
          <w:lang w:val="pt-BR"/>
        </w:rPr>
        <w:t>C</w:t>
      </w:r>
      <w:r w:rsidR="00A83886" w:rsidRPr="00A232C9">
        <w:rPr>
          <w:rFonts w:ascii="Times New Roman" w:hAnsi="Times New Roman"/>
          <w:sz w:val="24"/>
          <w:szCs w:val="24"/>
          <w:lang w:val="pt-BR"/>
        </w:rPr>
        <w:t xml:space="preserve">onsiderando que o CPC 28 (2009) permite métodos alternativos na mensuração posterior ao reconhecimento inicial das </w:t>
      </w:r>
      <w:r w:rsidR="002E6B3A">
        <w:rPr>
          <w:rFonts w:ascii="Times New Roman" w:hAnsi="Times New Roman"/>
          <w:sz w:val="24"/>
          <w:szCs w:val="24"/>
          <w:lang w:val="pt-BR"/>
        </w:rPr>
        <w:t>PPI</w:t>
      </w:r>
      <w:r w:rsidR="00A83886" w:rsidRPr="00A232C9">
        <w:rPr>
          <w:rFonts w:ascii="Times New Roman" w:hAnsi="Times New Roman"/>
          <w:sz w:val="24"/>
          <w:szCs w:val="24"/>
          <w:lang w:val="pt-BR"/>
        </w:rPr>
        <w:t xml:space="preserve"> e que o CPC 00 </w:t>
      </w:r>
      <w:r w:rsidR="00A14291" w:rsidRPr="00A232C9">
        <w:rPr>
          <w:rFonts w:ascii="Times New Roman" w:hAnsi="Times New Roman"/>
          <w:sz w:val="24"/>
          <w:szCs w:val="24"/>
          <w:lang w:val="pt-BR"/>
        </w:rPr>
        <w:t xml:space="preserve">R1 </w:t>
      </w:r>
      <w:r w:rsidR="00A83886" w:rsidRPr="00A232C9">
        <w:rPr>
          <w:rFonts w:ascii="Times New Roman" w:hAnsi="Times New Roman"/>
          <w:sz w:val="24"/>
          <w:szCs w:val="24"/>
          <w:lang w:val="pt-BR"/>
        </w:rPr>
        <w:t>(2011) destaca a comparabilidade como uma característica qualitativa que deve estar presente nas informações contábeis, os resultados desta pesquisa buscam</w:t>
      </w:r>
      <w:r>
        <w:rPr>
          <w:rFonts w:ascii="Times New Roman" w:hAnsi="Times New Roman"/>
          <w:sz w:val="24"/>
          <w:szCs w:val="24"/>
          <w:lang w:val="pt-BR"/>
        </w:rPr>
        <w:t xml:space="preserve"> ainda</w:t>
      </w:r>
      <w:r w:rsidR="00A83886" w:rsidRPr="00A232C9">
        <w:rPr>
          <w:rFonts w:ascii="Times New Roman" w:hAnsi="Times New Roman"/>
          <w:sz w:val="24"/>
          <w:szCs w:val="24"/>
          <w:lang w:val="pt-BR"/>
        </w:rPr>
        <w:t xml:space="preserve"> motivar a reflexão por parte dos órgãos reguladores acerca da utilidade e dos impactos </w:t>
      </w:r>
      <w:r w:rsidR="00D14DC7" w:rsidRPr="00A232C9">
        <w:rPr>
          <w:rFonts w:ascii="Times New Roman" w:hAnsi="Times New Roman"/>
          <w:sz w:val="24"/>
          <w:szCs w:val="24"/>
          <w:lang w:val="pt-BR"/>
        </w:rPr>
        <w:t xml:space="preserve">das </w:t>
      </w:r>
      <w:r w:rsidR="00A83886" w:rsidRPr="00A232C9">
        <w:rPr>
          <w:rFonts w:ascii="Times New Roman" w:hAnsi="Times New Roman"/>
          <w:sz w:val="24"/>
          <w:szCs w:val="24"/>
          <w:lang w:val="pt-BR"/>
        </w:rPr>
        <w:t xml:space="preserve">escolhas </w:t>
      </w:r>
      <w:r w:rsidR="00F03CE0" w:rsidRPr="00A232C9">
        <w:rPr>
          <w:rFonts w:ascii="Times New Roman" w:hAnsi="Times New Roman"/>
          <w:sz w:val="24"/>
          <w:szCs w:val="24"/>
          <w:lang w:val="pt-BR"/>
        </w:rPr>
        <w:t>contábeis n</w:t>
      </w:r>
      <w:r w:rsidR="00D14DC7" w:rsidRPr="00A232C9">
        <w:rPr>
          <w:rFonts w:ascii="Times New Roman" w:hAnsi="Times New Roman"/>
          <w:sz w:val="24"/>
          <w:szCs w:val="24"/>
          <w:lang w:val="pt-BR"/>
        </w:rPr>
        <w:t>os</w:t>
      </w:r>
      <w:r w:rsidR="00A83886" w:rsidRPr="00A232C9">
        <w:rPr>
          <w:rFonts w:ascii="Times New Roman" w:hAnsi="Times New Roman"/>
          <w:sz w:val="24"/>
          <w:szCs w:val="24"/>
          <w:lang w:val="pt-BR"/>
        </w:rPr>
        <w:t xml:space="preserve"> relatórios </w:t>
      </w:r>
      <w:r w:rsidR="00D14DC7" w:rsidRPr="00A232C9">
        <w:rPr>
          <w:rFonts w:ascii="Times New Roman" w:hAnsi="Times New Roman"/>
          <w:sz w:val="24"/>
          <w:szCs w:val="24"/>
          <w:lang w:val="pt-BR"/>
        </w:rPr>
        <w:t>financeiros</w:t>
      </w:r>
      <w:r w:rsidR="00A83886" w:rsidRPr="00A232C9">
        <w:rPr>
          <w:rFonts w:ascii="Times New Roman" w:hAnsi="Times New Roman"/>
          <w:sz w:val="24"/>
          <w:szCs w:val="24"/>
          <w:lang w:val="pt-BR"/>
        </w:rPr>
        <w:t>.</w:t>
      </w:r>
    </w:p>
    <w:p w14:paraId="79347886" w14:textId="77777777" w:rsidR="00813A18" w:rsidRDefault="00813A18" w:rsidP="008E7DAE">
      <w:pPr>
        <w:pStyle w:val="PargrafodaLista"/>
        <w:numPr>
          <w:ilvl w:val="0"/>
          <w:numId w:val="6"/>
        </w:numPr>
        <w:spacing w:after="0"/>
        <w:ind w:left="357" w:hanging="357"/>
        <w:rPr>
          <w:rFonts w:ascii="Times New Roman" w:hAnsi="Times New Roman"/>
          <w:b/>
          <w:sz w:val="24"/>
          <w:szCs w:val="24"/>
        </w:rPr>
      </w:pPr>
      <w:r w:rsidRPr="00A232C9">
        <w:rPr>
          <w:rFonts w:ascii="Times New Roman" w:hAnsi="Times New Roman"/>
          <w:b/>
          <w:sz w:val="24"/>
          <w:szCs w:val="24"/>
        </w:rPr>
        <w:lastRenderedPageBreak/>
        <w:t>REFERENCIAL TEÓRICO</w:t>
      </w:r>
    </w:p>
    <w:p w14:paraId="5ABFBB04" w14:textId="77777777" w:rsidR="008E7DAE" w:rsidRPr="00A232C9" w:rsidRDefault="008E7DAE" w:rsidP="008E7DAE">
      <w:pPr>
        <w:pStyle w:val="PargrafodaLista"/>
        <w:spacing w:after="0"/>
        <w:ind w:left="357"/>
        <w:rPr>
          <w:rFonts w:ascii="Times New Roman" w:hAnsi="Times New Roman"/>
          <w:b/>
          <w:sz w:val="24"/>
          <w:szCs w:val="24"/>
        </w:rPr>
      </w:pPr>
    </w:p>
    <w:p w14:paraId="6D00AB02" w14:textId="2B102D0B" w:rsidR="0083476B" w:rsidRPr="000703AB" w:rsidRDefault="000703AB" w:rsidP="008E7DAE">
      <w:pPr>
        <w:numPr>
          <w:ilvl w:val="1"/>
          <w:numId w:val="6"/>
        </w:numPr>
        <w:spacing w:after="0" w:line="240" w:lineRule="auto"/>
        <w:jc w:val="both"/>
        <w:rPr>
          <w:rFonts w:ascii="Times New Roman" w:hAnsi="Times New Roman"/>
          <w:sz w:val="24"/>
          <w:szCs w:val="24"/>
        </w:rPr>
      </w:pPr>
      <w:r>
        <w:rPr>
          <w:rFonts w:ascii="Times New Roman" w:hAnsi="Times New Roman"/>
          <w:sz w:val="24"/>
          <w:szCs w:val="24"/>
        </w:rPr>
        <w:t>COMPARABILIDADE E ESCOLHAS CONTÁBEIS</w:t>
      </w:r>
    </w:p>
    <w:p w14:paraId="4DAD4F28" w14:textId="1AF248E3" w:rsidR="0047789C" w:rsidRPr="00A232C9" w:rsidRDefault="00BA3DF9" w:rsidP="008E7DAE">
      <w:pPr>
        <w:tabs>
          <w:tab w:val="left" w:pos="567"/>
        </w:tabs>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5945D7" w:rsidRPr="00A232C9">
        <w:rPr>
          <w:rFonts w:ascii="Times New Roman" w:hAnsi="Times New Roman"/>
          <w:sz w:val="24"/>
          <w:szCs w:val="24"/>
          <w:lang w:val="pt-BR"/>
        </w:rPr>
        <w:t>A</w:t>
      </w:r>
      <w:r w:rsidR="000249AD" w:rsidRPr="00A232C9">
        <w:rPr>
          <w:rFonts w:ascii="Times New Roman" w:hAnsi="Times New Roman"/>
          <w:sz w:val="24"/>
          <w:szCs w:val="24"/>
          <w:lang w:val="pt-BR"/>
        </w:rPr>
        <w:t xml:space="preserve">s informações contábeis possuem como um dos principais objetivos </w:t>
      </w:r>
      <w:r w:rsidR="00D978EC" w:rsidRPr="00A232C9">
        <w:rPr>
          <w:rFonts w:ascii="Times New Roman" w:hAnsi="Times New Roman"/>
          <w:sz w:val="24"/>
          <w:szCs w:val="24"/>
          <w:lang w:val="pt-BR"/>
        </w:rPr>
        <w:t>o auxílio</w:t>
      </w:r>
      <w:r w:rsidR="005945D7" w:rsidRPr="00A232C9">
        <w:rPr>
          <w:rFonts w:ascii="Times New Roman" w:hAnsi="Times New Roman"/>
          <w:sz w:val="24"/>
          <w:szCs w:val="24"/>
          <w:lang w:val="pt-BR"/>
        </w:rPr>
        <w:t xml:space="preserve"> </w:t>
      </w:r>
      <w:r w:rsidR="00D978EC" w:rsidRPr="00A232C9">
        <w:rPr>
          <w:rFonts w:ascii="Times New Roman" w:hAnsi="Times New Roman"/>
          <w:sz w:val="24"/>
          <w:szCs w:val="24"/>
          <w:lang w:val="pt-BR"/>
        </w:rPr>
        <w:t>a</w:t>
      </w:r>
      <w:r w:rsidR="005945D7" w:rsidRPr="00A232C9">
        <w:rPr>
          <w:rFonts w:ascii="Times New Roman" w:hAnsi="Times New Roman"/>
          <w:sz w:val="24"/>
          <w:szCs w:val="24"/>
          <w:lang w:val="pt-BR"/>
        </w:rPr>
        <w:t xml:space="preserve">os </w:t>
      </w:r>
      <w:r w:rsidR="00D978EC" w:rsidRPr="00A232C9">
        <w:rPr>
          <w:rFonts w:ascii="Times New Roman" w:hAnsi="Times New Roman"/>
          <w:sz w:val="24"/>
          <w:szCs w:val="24"/>
          <w:lang w:val="pt-BR"/>
        </w:rPr>
        <w:t xml:space="preserve">usuários </w:t>
      </w:r>
      <w:r w:rsidR="005945D7" w:rsidRPr="00A232C9">
        <w:rPr>
          <w:rFonts w:ascii="Times New Roman" w:hAnsi="Times New Roman"/>
          <w:sz w:val="24"/>
          <w:szCs w:val="24"/>
          <w:lang w:val="pt-BR"/>
        </w:rPr>
        <w:t xml:space="preserve">na tomada </w:t>
      </w:r>
      <w:r w:rsidR="005945D7" w:rsidRPr="00CA5789">
        <w:rPr>
          <w:rFonts w:ascii="Times New Roman" w:hAnsi="Times New Roman"/>
          <w:sz w:val="24"/>
          <w:szCs w:val="24"/>
          <w:lang w:val="pt-BR"/>
        </w:rPr>
        <w:t>de decisão</w:t>
      </w:r>
      <w:r w:rsidR="00D978EC" w:rsidRPr="00CA5789">
        <w:rPr>
          <w:rFonts w:ascii="Times New Roman" w:hAnsi="Times New Roman"/>
          <w:sz w:val="24"/>
          <w:szCs w:val="24"/>
          <w:lang w:val="pt-BR"/>
        </w:rPr>
        <w:t xml:space="preserve"> como</w:t>
      </w:r>
      <w:r w:rsidR="000249AD" w:rsidRPr="00CA5789">
        <w:rPr>
          <w:rFonts w:ascii="Times New Roman" w:hAnsi="Times New Roman"/>
          <w:sz w:val="24"/>
          <w:szCs w:val="24"/>
          <w:lang w:val="pt-BR"/>
        </w:rPr>
        <w:t xml:space="preserve">, </w:t>
      </w:r>
      <w:r w:rsidR="00D978EC" w:rsidRPr="00CA5789">
        <w:rPr>
          <w:rFonts w:ascii="Times New Roman" w:hAnsi="Times New Roman"/>
          <w:sz w:val="24"/>
          <w:szCs w:val="24"/>
          <w:lang w:val="pt-BR"/>
        </w:rPr>
        <w:t>por exemplo,</w:t>
      </w:r>
      <w:r w:rsidR="000249AD" w:rsidRPr="00CA5789">
        <w:rPr>
          <w:rFonts w:ascii="Times New Roman" w:hAnsi="Times New Roman"/>
          <w:sz w:val="24"/>
          <w:szCs w:val="24"/>
          <w:lang w:val="pt-BR"/>
        </w:rPr>
        <w:t xml:space="preserve"> decisões de investimento ou mesmo pa</w:t>
      </w:r>
      <w:r w:rsidR="000A5530" w:rsidRPr="00CA5789">
        <w:rPr>
          <w:rFonts w:ascii="Times New Roman" w:hAnsi="Times New Roman"/>
          <w:sz w:val="24"/>
          <w:szCs w:val="24"/>
          <w:lang w:val="pt-BR"/>
        </w:rPr>
        <w:t xml:space="preserve">ra operações de crédito </w:t>
      </w:r>
      <w:r w:rsidR="00CA5789" w:rsidRPr="00CA5789">
        <w:rPr>
          <w:rFonts w:ascii="Times New Roman" w:hAnsi="Times New Roman"/>
          <w:sz w:val="24"/>
          <w:szCs w:val="24"/>
          <w:lang w:val="pt-BR"/>
        </w:rPr>
        <w:t>(PEREIRA, 2013)</w:t>
      </w:r>
      <w:r w:rsidR="000249AD" w:rsidRPr="00CA5789">
        <w:rPr>
          <w:rFonts w:ascii="Times New Roman" w:hAnsi="Times New Roman"/>
          <w:sz w:val="24"/>
          <w:szCs w:val="24"/>
          <w:lang w:val="pt-BR"/>
        </w:rPr>
        <w:t xml:space="preserve">. </w:t>
      </w:r>
      <w:r w:rsidR="00A56EDF" w:rsidRPr="00CA5789">
        <w:rPr>
          <w:rFonts w:ascii="Times New Roman" w:hAnsi="Times New Roman"/>
          <w:sz w:val="24"/>
          <w:szCs w:val="24"/>
          <w:lang w:val="pt-BR"/>
        </w:rPr>
        <w:t>Assim</w:t>
      </w:r>
      <w:r w:rsidR="00A56EDF" w:rsidRPr="00A232C9">
        <w:rPr>
          <w:rFonts w:ascii="Times New Roman" w:hAnsi="Times New Roman"/>
          <w:sz w:val="24"/>
          <w:szCs w:val="24"/>
          <w:lang w:val="pt-BR"/>
        </w:rPr>
        <w:t xml:space="preserve">, </w:t>
      </w:r>
      <w:r w:rsidR="00D978EC" w:rsidRPr="00A232C9">
        <w:rPr>
          <w:rFonts w:ascii="Times New Roman" w:hAnsi="Times New Roman"/>
          <w:sz w:val="24"/>
          <w:szCs w:val="24"/>
          <w:lang w:val="pt-BR"/>
        </w:rPr>
        <w:t xml:space="preserve">para serem relevantes, </w:t>
      </w:r>
      <w:r w:rsidR="00BC3E84" w:rsidRPr="00A232C9">
        <w:rPr>
          <w:rFonts w:ascii="Times New Roman" w:hAnsi="Times New Roman"/>
          <w:sz w:val="24"/>
          <w:szCs w:val="24"/>
          <w:lang w:val="pt-BR"/>
        </w:rPr>
        <w:t xml:space="preserve">devem apresentar padrões equivalentes no que diz respeito </w:t>
      </w:r>
      <w:r w:rsidR="00546657" w:rsidRPr="00A232C9">
        <w:rPr>
          <w:rFonts w:ascii="Times New Roman" w:hAnsi="Times New Roman"/>
          <w:sz w:val="24"/>
          <w:szCs w:val="24"/>
          <w:lang w:val="pt-BR"/>
        </w:rPr>
        <w:t>à</w:t>
      </w:r>
      <w:r w:rsidR="00BC3E84" w:rsidRPr="00A232C9">
        <w:rPr>
          <w:rFonts w:ascii="Times New Roman" w:hAnsi="Times New Roman"/>
          <w:sz w:val="24"/>
          <w:szCs w:val="24"/>
          <w:lang w:val="pt-BR"/>
        </w:rPr>
        <w:t xml:space="preserve"> mensuração e </w:t>
      </w:r>
      <w:r w:rsidR="008E6147">
        <w:rPr>
          <w:rFonts w:ascii="Times New Roman" w:hAnsi="Times New Roman"/>
          <w:sz w:val="24"/>
          <w:szCs w:val="24"/>
          <w:lang w:val="pt-BR"/>
        </w:rPr>
        <w:t xml:space="preserve">à </w:t>
      </w:r>
      <w:r w:rsidR="00BC3E84" w:rsidRPr="00A232C9">
        <w:rPr>
          <w:rFonts w:ascii="Times New Roman" w:hAnsi="Times New Roman"/>
          <w:sz w:val="24"/>
          <w:szCs w:val="24"/>
          <w:lang w:val="pt-BR"/>
        </w:rPr>
        <w:t>avaliaç</w:t>
      </w:r>
      <w:r w:rsidR="00A56EDF" w:rsidRPr="00A232C9">
        <w:rPr>
          <w:rFonts w:ascii="Times New Roman" w:hAnsi="Times New Roman"/>
          <w:sz w:val="24"/>
          <w:szCs w:val="24"/>
          <w:lang w:val="pt-BR"/>
        </w:rPr>
        <w:t xml:space="preserve">ão para que sejam </w:t>
      </w:r>
      <w:r w:rsidR="00A56EDF" w:rsidRPr="00DF431B">
        <w:rPr>
          <w:rFonts w:ascii="Times New Roman" w:hAnsi="Times New Roman"/>
          <w:sz w:val="24"/>
          <w:szCs w:val="24"/>
          <w:lang w:val="pt-BR"/>
        </w:rPr>
        <w:t>comparáveis, independe</w:t>
      </w:r>
      <w:r w:rsidR="00100C27" w:rsidRPr="00DF431B">
        <w:rPr>
          <w:rFonts w:ascii="Times New Roman" w:hAnsi="Times New Roman"/>
          <w:sz w:val="24"/>
          <w:szCs w:val="24"/>
          <w:lang w:val="pt-BR"/>
        </w:rPr>
        <w:t>nte</w:t>
      </w:r>
      <w:r w:rsidR="00A56EDF" w:rsidRPr="00DF431B">
        <w:rPr>
          <w:rFonts w:ascii="Times New Roman" w:hAnsi="Times New Roman"/>
          <w:sz w:val="24"/>
          <w:szCs w:val="24"/>
          <w:lang w:val="pt-BR"/>
        </w:rPr>
        <w:t>mente da e</w:t>
      </w:r>
      <w:r w:rsidR="00100C27" w:rsidRPr="00DF431B">
        <w:rPr>
          <w:rFonts w:ascii="Times New Roman" w:hAnsi="Times New Roman"/>
          <w:sz w:val="24"/>
          <w:szCs w:val="24"/>
          <w:lang w:val="pt-BR"/>
        </w:rPr>
        <w:t>ntidade</w:t>
      </w:r>
      <w:r w:rsidR="00A56EDF" w:rsidRPr="00DF431B">
        <w:rPr>
          <w:rFonts w:ascii="Times New Roman" w:hAnsi="Times New Roman"/>
          <w:sz w:val="24"/>
          <w:szCs w:val="24"/>
          <w:lang w:val="pt-BR"/>
        </w:rPr>
        <w:t xml:space="preserve">, do país ou mesmo do período analisado </w:t>
      </w:r>
      <w:r w:rsidR="00DF431B" w:rsidRPr="00DF431B">
        <w:rPr>
          <w:rFonts w:ascii="Times New Roman" w:hAnsi="Times New Roman"/>
          <w:sz w:val="24"/>
          <w:szCs w:val="24"/>
          <w:lang w:val="pt-BR"/>
        </w:rPr>
        <w:t>(ARAÚJO; SOUZA; LEMES, 2015; COELHO; CAMPAGNONI; ROVER, 2016)</w:t>
      </w:r>
      <w:r w:rsidR="00100C27" w:rsidRPr="00DF431B">
        <w:rPr>
          <w:rFonts w:ascii="Times New Roman" w:hAnsi="Times New Roman"/>
          <w:sz w:val="24"/>
          <w:szCs w:val="24"/>
          <w:lang w:val="pt-BR"/>
        </w:rPr>
        <w:t>.</w:t>
      </w:r>
      <w:r w:rsidR="000249AD" w:rsidRPr="00A232C9">
        <w:rPr>
          <w:rFonts w:ascii="Times New Roman" w:hAnsi="Times New Roman"/>
          <w:sz w:val="24"/>
          <w:szCs w:val="24"/>
          <w:lang w:val="pt-BR"/>
        </w:rPr>
        <w:t xml:space="preserve"> </w:t>
      </w:r>
    </w:p>
    <w:p w14:paraId="0CC28CDF" w14:textId="77777777" w:rsidR="007F2490" w:rsidRPr="00A232C9" w:rsidRDefault="00D8727B"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360F7D" w:rsidRPr="00A232C9">
        <w:rPr>
          <w:rFonts w:ascii="Times New Roman" w:hAnsi="Times New Roman"/>
          <w:sz w:val="24"/>
          <w:szCs w:val="24"/>
          <w:lang w:val="pt-BR"/>
        </w:rPr>
        <w:t>Segundo a Estrutura Conceitual para Elaboração e Divulgação de Relatório Contábil-Financeiro – CPC 00 (R1),</w:t>
      </w:r>
      <w:r w:rsidR="00D978EC" w:rsidRPr="00A232C9">
        <w:rPr>
          <w:rFonts w:ascii="Times New Roman" w:hAnsi="Times New Roman"/>
          <w:sz w:val="24"/>
          <w:szCs w:val="24"/>
          <w:lang w:val="pt-BR"/>
        </w:rPr>
        <w:t xml:space="preserve"> elaborada pelo Comitê de Pronunciamentos Contábeis (CPC) em 2011,</w:t>
      </w:r>
      <w:r w:rsidR="00360F7D" w:rsidRPr="00A232C9">
        <w:rPr>
          <w:rFonts w:ascii="Times New Roman" w:hAnsi="Times New Roman"/>
          <w:sz w:val="24"/>
          <w:szCs w:val="24"/>
          <w:lang w:val="pt-BR"/>
        </w:rPr>
        <w:t xml:space="preserve"> a</w:t>
      </w:r>
      <w:r w:rsidR="001B28A1" w:rsidRPr="00A232C9">
        <w:rPr>
          <w:rFonts w:ascii="Times New Roman" w:hAnsi="Times New Roman"/>
          <w:sz w:val="24"/>
          <w:szCs w:val="24"/>
          <w:lang w:val="pt-BR"/>
        </w:rPr>
        <w:t xml:space="preserve"> comparabilidade apresenta-se como uma das características qualitativas que são responsáveis por melhorar a </w:t>
      </w:r>
      <w:r w:rsidR="00360F7D" w:rsidRPr="00A232C9">
        <w:rPr>
          <w:rFonts w:ascii="Times New Roman" w:hAnsi="Times New Roman"/>
          <w:sz w:val="24"/>
          <w:szCs w:val="24"/>
          <w:lang w:val="pt-BR"/>
        </w:rPr>
        <w:t>utilidade</w:t>
      </w:r>
      <w:r w:rsidR="001B28A1" w:rsidRPr="00A232C9">
        <w:rPr>
          <w:rFonts w:ascii="Times New Roman" w:hAnsi="Times New Roman"/>
          <w:sz w:val="24"/>
          <w:szCs w:val="24"/>
          <w:lang w:val="pt-BR"/>
        </w:rPr>
        <w:t xml:space="preserve"> de uma informação fornecida aos usuários internos e externos </w:t>
      </w:r>
      <w:r w:rsidR="00360F7D" w:rsidRPr="00A232C9">
        <w:rPr>
          <w:rFonts w:ascii="Times New Roman" w:hAnsi="Times New Roman"/>
          <w:sz w:val="24"/>
          <w:szCs w:val="24"/>
          <w:lang w:val="pt-BR"/>
        </w:rPr>
        <w:t>e também assessorar a escolha entre alternativas equivalentes com relação à relevância e fidedignidade</w:t>
      </w:r>
      <w:r w:rsidR="00D978EC" w:rsidRPr="00A232C9">
        <w:rPr>
          <w:rFonts w:ascii="Times New Roman" w:hAnsi="Times New Roman"/>
          <w:sz w:val="24"/>
          <w:szCs w:val="24"/>
          <w:lang w:val="pt-BR"/>
        </w:rPr>
        <w:t xml:space="preserve"> da informação</w:t>
      </w:r>
      <w:r w:rsidR="00360F7D" w:rsidRPr="00A232C9">
        <w:rPr>
          <w:rFonts w:ascii="Times New Roman" w:hAnsi="Times New Roman"/>
          <w:sz w:val="24"/>
          <w:szCs w:val="24"/>
          <w:lang w:val="pt-BR"/>
        </w:rPr>
        <w:t>. Além desta, destacam-se a verificabilidade, a tempestividade e a compreensibilidade.</w:t>
      </w:r>
    </w:p>
    <w:p w14:paraId="1EA30A99" w14:textId="0C6B9CB3" w:rsidR="00360F7D" w:rsidRDefault="00360F7D"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272EE9" w:rsidRPr="00A232C9">
        <w:rPr>
          <w:rFonts w:ascii="Times New Roman" w:hAnsi="Times New Roman"/>
          <w:sz w:val="24"/>
          <w:szCs w:val="24"/>
          <w:lang w:val="pt-BR"/>
        </w:rPr>
        <w:t>Tal característica de melhoria</w:t>
      </w:r>
      <w:r w:rsidRPr="00A232C9">
        <w:rPr>
          <w:rFonts w:ascii="Times New Roman" w:hAnsi="Times New Roman"/>
          <w:sz w:val="24"/>
          <w:szCs w:val="24"/>
          <w:lang w:val="pt-BR"/>
        </w:rPr>
        <w:t xml:space="preserve"> torna uma informação contábil mais út</w:t>
      </w:r>
      <w:r w:rsidR="007F20C9" w:rsidRPr="00A232C9">
        <w:rPr>
          <w:rFonts w:ascii="Times New Roman" w:hAnsi="Times New Roman"/>
          <w:sz w:val="24"/>
          <w:szCs w:val="24"/>
          <w:lang w:val="pt-BR"/>
        </w:rPr>
        <w:t xml:space="preserve">il a partir do momento </w:t>
      </w:r>
      <w:r w:rsidR="00AF44E0" w:rsidRPr="00A232C9">
        <w:rPr>
          <w:rFonts w:ascii="Times New Roman" w:hAnsi="Times New Roman"/>
          <w:sz w:val="24"/>
          <w:szCs w:val="24"/>
          <w:lang w:val="pt-BR"/>
        </w:rPr>
        <w:t xml:space="preserve">em </w:t>
      </w:r>
      <w:r w:rsidR="007F20C9" w:rsidRPr="00A232C9">
        <w:rPr>
          <w:rFonts w:ascii="Times New Roman" w:hAnsi="Times New Roman"/>
          <w:sz w:val="24"/>
          <w:szCs w:val="24"/>
          <w:lang w:val="pt-BR"/>
        </w:rPr>
        <w:t>que a mesma possa</w:t>
      </w:r>
      <w:r w:rsidRPr="00A232C9">
        <w:rPr>
          <w:rFonts w:ascii="Times New Roman" w:hAnsi="Times New Roman"/>
          <w:sz w:val="24"/>
          <w:szCs w:val="24"/>
          <w:lang w:val="pt-BR"/>
        </w:rPr>
        <w:t xml:space="preserve"> ser comparada </w:t>
      </w:r>
      <w:r w:rsidR="007F20C9" w:rsidRPr="00A232C9">
        <w:rPr>
          <w:rFonts w:ascii="Times New Roman" w:hAnsi="Times New Roman"/>
          <w:sz w:val="24"/>
          <w:szCs w:val="24"/>
          <w:lang w:val="pt-BR"/>
        </w:rPr>
        <w:t xml:space="preserve">entre entidades diferentes ou entre a mesma entidade em períodos de tempos distintos. É importante ressaltar que </w:t>
      </w:r>
      <w:r w:rsidR="005E4126" w:rsidRPr="00A232C9">
        <w:rPr>
          <w:rFonts w:ascii="Times New Roman" w:hAnsi="Times New Roman"/>
          <w:sz w:val="24"/>
          <w:szCs w:val="24"/>
          <w:lang w:val="pt-BR"/>
        </w:rPr>
        <w:t xml:space="preserve">esta </w:t>
      </w:r>
      <w:r w:rsidR="007167C9" w:rsidRPr="00A232C9">
        <w:rPr>
          <w:rFonts w:ascii="Times New Roman" w:hAnsi="Times New Roman"/>
          <w:sz w:val="24"/>
          <w:szCs w:val="24"/>
          <w:lang w:val="pt-BR"/>
        </w:rPr>
        <w:t>característica qualitativa</w:t>
      </w:r>
      <w:r w:rsidR="007F20C9" w:rsidRPr="00A232C9">
        <w:rPr>
          <w:rFonts w:ascii="Times New Roman" w:hAnsi="Times New Roman"/>
          <w:sz w:val="24"/>
          <w:szCs w:val="24"/>
          <w:lang w:val="pt-BR"/>
        </w:rPr>
        <w:t xml:space="preserve"> pressupõe a existência entre, no mínimo, dois itens para que sejam identificadas</w:t>
      </w:r>
      <w:r w:rsidR="005E4126" w:rsidRPr="00A232C9">
        <w:rPr>
          <w:rFonts w:ascii="Times New Roman" w:hAnsi="Times New Roman"/>
          <w:sz w:val="24"/>
          <w:szCs w:val="24"/>
          <w:lang w:val="pt-BR"/>
        </w:rPr>
        <w:t xml:space="preserve"> e compreendidas</w:t>
      </w:r>
      <w:r w:rsidR="007F20C9" w:rsidRPr="00A232C9">
        <w:rPr>
          <w:rFonts w:ascii="Times New Roman" w:hAnsi="Times New Roman"/>
          <w:sz w:val="24"/>
          <w:szCs w:val="24"/>
          <w:lang w:val="pt-BR"/>
        </w:rPr>
        <w:t xml:space="preserve"> similaridades e diferenças </w:t>
      </w:r>
      <w:r w:rsidR="00A041E6" w:rsidRPr="00A232C9">
        <w:rPr>
          <w:rFonts w:ascii="Times New Roman" w:hAnsi="Times New Roman"/>
          <w:sz w:val="24"/>
          <w:szCs w:val="24"/>
          <w:lang w:val="pt-BR"/>
        </w:rPr>
        <w:t xml:space="preserve">entre os mesmos </w:t>
      </w:r>
      <w:r w:rsidR="002E3DA9" w:rsidRPr="00A232C9">
        <w:rPr>
          <w:rFonts w:ascii="Times New Roman" w:hAnsi="Times New Roman"/>
          <w:sz w:val="24"/>
          <w:szCs w:val="24"/>
          <w:lang w:val="pt-BR"/>
        </w:rPr>
        <w:t>(CPC 00 R1</w:t>
      </w:r>
      <w:r w:rsidR="007F20C9" w:rsidRPr="00A232C9">
        <w:rPr>
          <w:rFonts w:ascii="Times New Roman" w:hAnsi="Times New Roman"/>
          <w:sz w:val="24"/>
          <w:szCs w:val="24"/>
          <w:lang w:val="pt-BR"/>
        </w:rPr>
        <w:t>, 2011).</w:t>
      </w:r>
      <w:r w:rsidR="00272EE9" w:rsidRPr="00A232C9">
        <w:rPr>
          <w:rFonts w:ascii="Times New Roman" w:hAnsi="Times New Roman"/>
          <w:sz w:val="24"/>
          <w:szCs w:val="24"/>
          <w:lang w:val="pt-BR"/>
        </w:rPr>
        <w:t xml:space="preserve"> A Estrutura Conceitual ainda destaca que</w:t>
      </w:r>
      <w:r w:rsidR="00F9499B">
        <w:rPr>
          <w:rFonts w:ascii="Times New Roman" w:hAnsi="Times New Roman"/>
          <w:sz w:val="24"/>
          <w:szCs w:val="24"/>
          <w:lang w:val="pt-BR"/>
        </w:rPr>
        <w:t>:</w:t>
      </w:r>
      <w:r w:rsidR="00272EE9" w:rsidRPr="00A232C9">
        <w:rPr>
          <w:rFonts w:ascii="Times New Roman" w:hAnsi="Times New Roman"/>
          <w:sz w:val="24"/>
          <w:szCs w:val="24"/>
          <w:lang w:val="pt-BR"/>
        </w:rPr>
        <w:t xml:space="preserve"> </w:t>
      </w:r>
    </w:p>
    <w:p w14:paraId="1A1F30CD" w14:textId="77777777" w:rsidR="00236713" w:rsidRPr="00F345E8" w:rsidRDefault="00236713" w:rsidP="008E7DAE">
      <w:pPr>
        <w:spacing w:after="0" w:line="240" w:lineRule="auto"/>
        <w:jc w:val="both"/>
        <w:rPr>
          <w:rFonts w:ascii="Times New Roman" w:hAnsi="Times New Roman"/>
          <w:sz w:val="20"/>
          <w:szCs w:val="20"/>
          <w:lang w:val="pt-BR"/>
        </w:rPr>
      </w:pPr>
    </w:p>
    <w:p w14:paraId="6FDA6346" w14:textId="77777777" w:rsidR="00DE7C47" w:rsidRDefault="00272EE9" w:rsidP="008E7DAE">
      <w:pPr>
        <w:autoSpaceDE w:val="0"/>
        <w:autoSpaceDN w:val="0"/>
        <w:adjustRightInd w:val="0"/>
        <w:spacing w:after="0" w:line="240" w:lineRule="auto"/>
        <w:ind w:left="2268"/>
        <w:jc w:val="both"/>
        <w:rPr>
          <w:rFonts w:ascii="Times New Roman" w:hAnsi="Times New Roman"/>
          <w:noProof w:val="0"/>
          <w:sz w:val="20"/>
          <w:szCs w:val="20"/>
          <w:lang w:val="pt-BR"/>
        </w:rPr>
      </w:pPr>
      <w:r w:rsidRPr="00A232C9">
        <w:rPr>
          <w:rFonts w:ascii="Times New Roman" w:hAnsi="Times New Roman"/>
          <w:noProof w:val="0"/>
          <w:sz w:val="20"/>
          <w:szCs w:val="20"/>
          <w:lang w:val="pt-BR"/>
        </w:rPr>
        <w:t>[...] embora</w:t>
      </w:r>
      <w:r w:rsidR="00DE7C47" w:rsidRPr="00A232C9">
        <w:rPr>
          <w:rFonts w:ascii="Times New Roman" w:hAnsi="Times New Roman"/>
          <w:noProof w:val="0"/>
          <w:sz w:val="20"/>
          <w:szCs w:val="20"/>
          <w:lang w:val="pt-BR"/>
        </w:rPr>
        <w:t xml:space="preserve"> um fenômeno econômico singular possa ser representado com fidedignidade de múltiplas formas, a discricionariedade na escolha de métodos contábeis alternativos para o mesmo fenômeno econômico dim</w:t>
      </w:r>
      <w:r w:rsidR="002E3DA9" w:rsidRPr="00A232C9">
        <w:rPr>
          <w:rFonts w:ascii="Times New Roman" w:hAnsi="Times New Roman"/>
          <w:noProof w:val="0"/>
          <w:sz w:val="20"/>
          <w:szCs w:val="20"/>
          <w:lang w:val="pt-BR"/>
        </w:rPr>
        <w:t>inui a comparabilidade (CPC 00 R1</w:t>
      </w:r>
      <w:r w:rsidR="00DE7C47" w:rsidRPr="00A232C9">
        <w:rPr>
          <w:rFonts w:ascii="Times New Roman" w:hAnsi="Times New Roman"/>
          <w:noProof w:val="0"/>
          <w:sz w:val="20"/>
          <w:szCs w:val="20"/>
          <w:lang w:val="pt-BR"/>
        </w:rPr>
        <w:t>, 2011,</w:t>
      </w:r>
      <w:r w:rsidR="002E3DA9" w:rsidRPr="00A232C9">
        <w:rPr>
          <w:rFonts w:ascii="Times New Roman" w:hAnsi="Times New Roman"/>
          <w:noProof w:val="0"/>
          <w:sz w:val="20"/>
          <w:szCs w:val="20"/>
          <w:lang w:val="pt-BR"/>
        </w:rPr>
        <w:t xml:space="preserve"> item QC 25,</w:t>
      </w:r>
      <w:r w:rsidR="00DE7C47" w:rsidRPr="00A232C9">
        <w:rPr>
          <w:rFonts w:ascii="Times New Roman" w:hAnsi="Times New Roman"/>
          <w:noProof w:val="0"/>
          <w:sz w:val="20"/>
          <w:szCs w:val="20"/>
          <w:lang w:val="pt-BR"/>
        </w:rPr>
        <w:t xml:space="preserve"> p. 18).</w:t>
      </w:r>
    </w:p>
    <w:p w14:paraId="399FE205" w14:textId="77777777" w:rsidR="00236713" w:rsidRPr="00A232C9" w:rsidRDefault="00236713" w:rsidP="008E7DAE">
      <w:pPr>
        <w:autoSpaceDE w:val="0"/>
        <w:autoSpaceDN w:val="0"/>
        <w:adjustRightInd w:val="0"/>
        <w:spacing w:after="0" w:line="240" w:lineRule="auto"/>
        <w:ind w:left="2268"/>
        <w:jc w:val="both"/>
        <w:rPr>
          <w:rFonts w:ascii="Times New Roman" w:hAnsi="Times New Roman"/>
          <w:noProof w:val="0"/>
          <w:sz w:val="20"/>
          <w:szCs w:val="20"/>
          <w:lang w:val="pt-BR"/>
        </w:rPr>
      </w:pPr>
    </w:p>
    <w:p w14:paraId="281F7083" w14:textId="77D69B95" w:rsidR="00D2504C" w:rsidRPr="00A232C9" w:rsidRDefault="002E3DA9"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8E7B2D">
        <w:rPr>
          <w:rFonts w:ascii="Times New Roman" w:hAnsi="Times New Roman"/>
          <w:sz w:val="24"/>
          <w:szCs w:val="24"/>
          <w:lang w:val="pt-BR"/>
        </w:rPr>
        <w:t xml:space="preserve">Nesse sentido, </w:t>
      </w:r>
      <w:r w:rsidR="00272EE9" w:rsidRPr="00A232C9">
        <w:rPr>
          <w:rFonts w:ascii="Times New Roman" w:hAnsi="Times New Roman"/>
          <w:sz w:val="24"/>
          <w:szCs w:val="24"/>
          <w:lang w:val="pt-BR"/>
        </w:rPr>
        <w:t>as normas internacionais reconhecem que</w:t>
      </w:r>
      <w:r w:rsidR="00E82ECB" w:rsidRPr="00A232C9">
        <w:rPr>
          <w:rFonts w:ascii="Times New Roman" w:hAnsi="Times New Roman"/>
          <w:sz w:val="24"/>
          <w:szCs w:val="24"/>
          <w:lang w:val="pt-BR"/>
        </w:rPr>
        <w:t xml:space="preserve"> métodos contábeis alternativos, conhecidos na literatura como escolhas contábeis (</w:t>
      </w:r>
      <w:r w:rsidR="00E82ECB" w:rsidRPr="00A232C9">
        <w:rPr>
          <w:rFonts w:ascii="Times New Roman" w:hAnsi="Times New Roman"/>
          <w:i/>
          <w:sz w:val="24"/>
          <w:szCs w:val="24"/>
          <w:lang w:val="pt-BR"/>
        </w:rPr>
        <w:t>accounting choices</w:t>
      </w:r>
      <w:r w:rsidR="00E82ECB" w:rsidRPr="00A232C9">
        <w:rPr>
          <w:rFonts w:ascii="Times New Roman" w:hAnsi="Times New Roman"/>
          <w:sz w:val="24"/>
          <w:szCs w:val="24"/>
          <w:lang w:val="pt-BR"/>
        </w:rPr>
        <w:t xml:space="preserve">), </w:t>
      </w:r>
      <w:r w:rsidR="00272EE9" w:rsidRPr="00A232C9">
        <w:rPr>
          <w:rFonts w:ascii="Times New Roman" w:hAnsi="Times New Roman"/>
          <w:sz w:val="24"/>
          <w:szCs w:val="24"/>
          <w:lang w:val="pt-BR"/>
        </w:rPr>
        <w:t>influe</w:t>
      </w:r>
      <w:r w:rsidR="00E82ECB" w:rsidRPr="00A232C9">
        <w:rPr>
          <w:rFonts w:ascii="Times New Roman" w:hAnsi="Times New Roman"/>
          <w:sz w:val="24"/>
          <w:szCs w:val="24"/>
          <w:lang w:val="pt-BR"/>
        </w:rPr>
        <w:t>ncia</w:t>
      </w:r>
      <w:r w:rsidR="00272EE9" w:rsidRPr="00A232C9">
        <w:rPr>
          <w:rFonts w:ascii="Times New Roman" w:hAnsi="Times New Roman"/>
          <w:sz w:val="24"/>
          <w:szCs w:val="24"/>
          <w:lang w:val="pt-BR"/>
        </w:rPr>
        <w:t>m</w:t>
      </w:r>
      <w:r w:rsidR="00E82ECB" w:rsidRPr="00A232C9">
        <w:rPr>
          <w:rFonts w:ascii="Times New Roman" w:hAnsi="Times New Roman"/>
          <w:sz w:val="24"/>
          <w:szCs w:val="24"/>
          <w:lang w:val="pt-BR"/>
        </w:rPr>
        <w:t xml:space="preserve"> a comparabilidade de informações. De acordo com Fields, Lys e Vincent (2001) uma escolha contábil pode ser definida como qualquer decisão que tem como objetivo influenciar o </w:t>
      </w:r>
      <w:r w:rsidR="00E82ECB" w:rsidRPr="00A232C9">
        <w:rPr>
          <w:rFonts w:ascii="Times New Roman" w:hAnsi="Times New Roman"/>
          <w:i/>
          <w:sz w:val="24"/>
          <w:szCs w:val="24"/>
          <w:lang w:val="pt-BR"/>
        </w:rPr>
        <w:t>output</w:t>
      </w:r>
      <w:r w:rsidR="00E82ECB" w:rsidRPr="00A232C9">
        <w:rPr>
          <w:rFonts w:ascii="Times New Roman" w:hAnsi="Times New Roman"/>
          <w:sz w:val="24"/>
          <w:szCs w:val="24"/>
          <w:lang w:val="pt-BR"/>
        </w:rPr>
        <w:t xml:space="preserve"> de um sistema de contabilidade, com relação às demonstrações financeiras, declaraç</w:t>
      </w:r>
      <w:r w:rsidR="00433004" w:rsidRPr="00A232C9">
        <w:rPr>
          <w:rFonts w:ascii="Times New Roman" w:hAnsi="Times New Roman"/>
          <w:sz w:val="24"/>
          <w:szCs w:val="24"/>
          <w:lang w:val="pt-BR"/>
        </w:rPr>
        <w:t>ões fiscais e documentos</w:t>
      </w:r>
      <w:r w:rsidR="00E82ECB" w:rsidRPr="00A232C9">
        <w:rPr>
          <w:rFonts w:ascii="Times New Roman" w:hAnsi="Times New Roman"/>
          <w:sz w:val="24"/>
          <w:szCs w:val="24"/>
          <w:lang w:val="pt-BR"/>
        </w:rPr>
        <w:t xml:space="preserve"> regulatórios. </w:t>
      </w:r>
      <w:r w:rsidR="00D2504C" w:rsidRPr="00A232C9">
        <w:rPr>
          <w:rFonts w:ascii="Times New Roman" w:hAnsi="Times New Roman"/>
          <w:sz w:val="24"/>
          <w:szCs w:val="24"/>
          <w:lang w:val="pt-BR"/>
        </w:rPr>
        <w:tab/>
      </w:r>
    </w:p>
    <w:p w14:paraId="592C23A3" w14:textId="01178BA8" w:rsidR="00D2504C" w:rsidRPr="00A232C9" w:rsidRDefault="002C6003"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Botinha e Lemes (2016) </w:t>
      </w:r>
      <w:r w:rsidR="00D2504C" w:rsidRPr="00A232C9">
        <w:rPr>
          <w:rFonts w:ascii="Times New Roman" w:hAnsi="Times New Roman"/>
          <w:sz w:val="24"/>
          <w:szCs w:val="24"/>
          <w:lang w:val="pt-BR"/>
        </w:rPr>
        <w:t>buscaram possíveis explicações que justificassem a escolha diante de métodos contábeis distintos. Baseando-se na Teoria Positiva da Contabilidade de Watts e Zimmerman (1986), identificou-se a presença de três hipóteses que influenciam as escolhas contábeis: plano de incentivo, grau de endividamento e tamanho ou custos políticos. A primeira hip</w:t>
      </w:r>
      <w:r w:rsidR="00E30887" w:rsidRPr="00A232C9">
        <w:rPr>
          <w:rFonts w:ascii="Times New Roman" w:hAnsi="Times New Roman"/>
          <w:sz w:val="24"/>
          <w:szCs w:val="24"/>
          <w:lang w:val="pt-BR"/>
        </w:rPr>
        <w:t xml:space="preserve">ótese </w:t>
      </w:r>
      <w:r w:rsidR="00D2504C" w:rsidRPr="00A232C9">
        <w:rPr>
          <w:rFonts w:ascii="Times New Roman" w:hAnsi="Times New Roman"/>
          <w:sz w:val="24"/>
          <w:szCs w:val="24"/>
          <w:lang w:val="pt-BR"/>
        </w:rPr>
        <w:t xml:space="preserve">aborda que os administradores irão optar pela alternativa que aumentar o lucro, </w:t>
      </w:r>
      <w:r w:rsidR="00E30887" w:rsidRPr="00A232C9">
        <w:rPr>
          <w:rFonts w:ascii="Times New Roman" w:hAnsi="Times New Roman"/>
          <w:sz w:val="24"/>
          <w:szCs w:val="24"/>
          <w:lang w:val="pt-BR"/>
        </w:rPr>
        <w:t xml:space="preserve">adicionando valores para suas remunerações e bônus. A hipótese do grau de endividamento expõe que as empresas com maior nível de endividamento buscarão por escolhas que aumentem o lucro para, por exemplo, captar investimentos. </w:t>
      </w:r>
      <w:r w:rsidR="00272EE9" w:rsidRPr="00A232C9">
        <w:rPr>
          <w:rFonts w:ascii="Times New Roman" w:hAnsi="Times New Roman"/>
          <w:sz w:val="24"/>
          <w:szCs w:val="24"/>
          <w:lang w:val="pt-BR"/>
        </w:rPr>
        <w:t>A</w:t>
      </w:r>
      <w:r w:rsidR="00E30887" w:rsidRPr="00A232C9">
        <w:rPr>
          <w:rFonts w:ascii="Times New Roman" w:hAnsi="Times New Roman"/>
          <w:sz w:val="24"/>
          <w:szCs w:val="24"/>
          <w:lang w:val="pt-BR"/>
        </w:rPr>
        <w:t xml:space="preserve"> última</w:t>
      </w:r>
      <w:r w:rsidR="00272EE9" w:rsidRPr="00A232C9">
        <w:rPr>
          <w:rFonts w:ascii="Times New Roman" w:hAnsi="Times New Roman"/>
          <w:sz w:val="24"/>
          <w:szCs w:val="24"/>
          <w:lang w:val="pt-BR"/>
        </w:rPr>
        <w:t>,</w:t>
      </w:r>
      <w:r w:rsidR="00E30887" w:rsidRPr="00A232C9">
        <w:rPr>
          <w:rFonts w:ascii="Times New Roman" w:hAnsi="Times New Roman"/>
          <w:sz w:val="24"/>
          <w:szCs w:val="24"/>
          <w:lang w:val="pt-BR"/>
        </w:rPr>
        <w:t xml:space="preserve"> </w:t>
      </w:r>
      <w:r w:rsidR="00272EE9" w:rsidRPr="00A232C9">
        <w:rPr>
          <w:rFonts w:ascii="Times New Roman" w:hAnsi="Times New Roman"/>
          <w:sz w:val="24"/>
          <w:szCs w:val="24"/>
          <w:lang w:val="pt-BR"/>
        </w:rPr>
        <w:t>por sua vez,</w:t>
      </w:r>
      <w:r w:rsidR="00A34427" w:rsidRPr="00A232C9">
        <w:rPr>
          <w:rFonts w:ascii="Times New Roman" w:hAnsi="Times New Roman"/>
          <w:sz w:val="24"/>
          <w:szCs w:val="24"/>
          <w:lang w:val="pt-BR"/>
        </w:rPr>
        <w:t xml:space="preserve"> </w:t>
      </w:r>
      <w:r w:rsidR="00E30887" w:rsidRPr="00A232C9">
        <w:rPr>
          <w:rFonts w:ascii="Times New Roman" w:hAnsi="Times New Roman"/>
          <w:sz w:val="24"/>
          <w:szCs w:val="24"/>
          <w:lang w:val="pt-BR"/>
        </w:rPr>
        <w:t xml:space="preserve">evidencia que as maiores empresas irão priorizar métodos contábeis que reduzam o lucro para diminuir </w:t>
      </w:r>
      <w:r w:rsidR="00F9499B">
        <w:rPr>
          <w:rFonts w:ascii="Times New Roman" w:hAnsi="Times New Roman"/>
          <w:sz w:val="24"/>
          <w:szCs w:val="24"/>
          <w:lang w:val="pt-BR"/>
        </w:rPr>
        <w:t xml:space="preserve">os </w:t>
      </w:r>
      <w:r w:rsidR="00E30887" w:rsidRPr="00A232C9">
        <w:rPr>
          <w:rFonts w:ascii="Times New Roman" w:hAnsi="Times New Roman"/>
          <w:sz w:val="24"/>
          <w:szCs w:val="24"/>
          <w:lang w:val="pt-BR"/>
        </w:rPr>
        <w:t xml:space="preserve">custos e </w:t>
      </w:r>
      <w:r w:rsidR="004D4183">
        <w:rPr>
          <w:rFonts w:ascii="Times New Roman" w:hAnsi="Times New Roman"/>
          <w:sz w:val="24"/>
          <w:szCs w:val="24"/>
          <w:lang w:val="pt-BR"/>
        </w:rPr>
        <w:t xml:space="preserve">a </w:t>
      </w:r>
      <w:r w:rsidR="00E30887" w:rsidRPr="00A232C9">
        <w:rPr>
          <w:rFonts w:ascii="Times New Roman" w:hAnsi="Times New Roman"/>
          <w:sz w:val="24"/>
          <w:szCs w:val="24"/>
          <w:lang w:val="pt-BR"/>
        </w:rPr>
        <w:t>atenção política</w:t>
      </w:r>
      <w:r w:rsidRPr="00A232C9">
        <w:rPr>
          <w:rFonts w:ascii="Times New Roman" w:hAnsi="Times New Roman"/>
          <w:sz w:val="24"/>
          <w:szCs w:val="24"/>
          <w:lang w:val="pt-BR"/>
        </w:rPr>
        <w:t>.</w:t>
      </w:r>
    </w:p>
    <w:p w14:paraId="0D5FFA16" w14:textId="1E97E866" w:rsidR="00742A5D" w:rsidRPr="00A232C9" w:rsidRDefault="00D2504C"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5725DE" w:rsidRPr="00A232C9">
        <w:rPr>
          <w:rFonts w:ascii="Times New Roman" w:hAnsi="Times New Roman"/>
          <w:sz w:val="24"/>
          <w:szCs w:val="24"/>
          <w:lang w:val="pt-BR"/>
        </w:rPr>
        <w:t>Além d</w:t>
      </w:r>
      <w:r w:rsidR="00357ECD" w:rsidRPr="00A232C9">
        <w:rPr>
          <w:rFonts w:ascii="Times New Roman" w:hAnsi="Times New Roman"/>
          <w:sz w:val="24"/>
          <w:szCs w:val="24"/>
          <w:lang w:val="pt-BR"/>
        </w:rPr>
        <w:t>est</w:t>
      </w:r>
      <w:r w:rsidR="005725DE" w:rsidRPr="00A232C9">
        <w:rPr>
          <w:rFonts w:ascii="Times New Roman" w:hAnsi="Times New Roman"/>
          <w:sz w:val="24"/>
          <w:szCs w:val="24"/>
          <w:lang w:val="pt-BR"/>
        </w:rPr>
        <w:t>a perspectiva empírico</w:t>
      </w:r>
      <w:r w:rsidR="00357ECD" w:rsidRPr="00A232C9">
        <w:rPr>
          <w:rFonts w:ascii="Times New Roman" w:hAnsi="Times New Roman"/>
          <w:sz w:val="24"/>
          <w:szCs w:val="24"/>
          <w:lang w:val="pt-BR"/>
        </w:rPr>
        <w:t>-</w:t>
      </w:r>
      <w:r w:rsidR="005725DE" w:rsidRPr="00A232C9">
        <w:rPr>
          <w:rFonts w:ascii="Times New Roman" w:hAnsi="Times New Roman"/>
          <w:sz w:val="24"/>
          <w:szCs w:val="24"/>
          <w:lang w:val="pt-BR"/>
        </w:rPr>
        <w:t xml:space="preserve">positivista, Pinto, Martins e Silva (2015) e Botinha e Lemes (2016) abordaram a influência do </w:t>
      </w:r>
      <w:r w:rsidR="005725DE" w:rsidRPr="00A232C9">
        <w:rPr>
          <w:rFonts w:ascii="Times New Roman" w:hAnsi="Times New Roman"/>
          <w:i/>
          <w:sz w:val="24"/>
          <w:szCs w:val="24"/>
          <w:lang w:val="pt-BR"/>
        </w:rPr>
        <w:t>status quo</w:t>
      </w:r>
      <w:r w:rsidR="005725DE" w:rsidRPr="00A232C9">
        <w:rPr>
          <w:rFonts w:ascii="Times New Roman" w:hAnsi="Times New Roman"/>
          <w:sz w:val="24"/>
          <w:szCs w:val="24"/>
          <w:lang w:val="pt-BR"/>
        </w:rPr>
        <w:t xml:space="preserve"> para explicações de escolhas contábeis, que representa a manutenção de uma decisão para representar uma informação contábil impedindo a mudança para evitar custos, riscos e permanecer na “zona de conforto”.</w:t>
      </w:r>
    </w:p>
    <w:p w14:paraId="3609D79D" w14:textId="74B517FC" w:rsidR="005725DE" w:rsidRPr="00A232C9" w:rsidRDefault="00546657"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lastRenderedPageBreak/>
        <w:t xml:space="preserve">Destaca-se </w:t>
      </w:r>
      <w:r w:rsidR="005725DE" w:rsidRPr="00A232C9">
        <w:rPr>
          <w:rFonts w:ascii="Times New Roman" w:hAnsi="Times New Roman"/>
          <w:sz w:val="24"/>
          <w:szCs w:val="24"/>
          <w:lang w:val="pt-BR"/>
        </w:rPr>
        <w:t xml:space="preserve">que </w:t>
      </w:r>
      <w:r w:rsidR="004745F4" w:rsidRPr="00A232C9">
        <w:rPr>
          <w:rFonts w:ascii="Times New Roman" w:hAnsi="Times New Roman"/>
          <w:sz w:val="24"/>
          <w:szCs w:val="24"/>
          <w:lang w:val="pt-BR"/>
        </w:rPr>
        <w:t>a existência de métodos alternativos</w:t>
      </w:r>
      <w:r w:rsidR="005725DE" w:rsidRPr="00A232C9">
        <w:rPr>
          <w:rFonts w:ascii="Times New Roman" w:hAnsi="Times New Roman"/>
          <w:sz w:val="24"/>
          <w:szCs w:val="24"/>
          <w:lang w:val="pt-BR"/>
        </w:rPr>
        <w:t xml:space="preserve">, </w:t>
      </w:r>
      <w:r w:rsidR="003211AE" w:rsidRPr="00A232C9">
        <w:rPr>
          <w:rFonts w:ascii="Times New Roman" w:hAnsi="Times New Roman"/>
          <w:sz w:val="24"/>
          <w:szCs w:val="24"/>
          <w:lang w:val="pt-BR"/>
        </w:rPr>
        <w:t>apesar de em alguns casos auxiliar a empresa,</w:t>
      </w:r>
      <w:r w:rsidR="004D4183">
        <w:rPr>
          <w:rFonts w:ascii="Times New Roman" w:hAnsi="Times New Roman"/>
          <w:sz w:val="24"/>
          <w:szCs w:val="24"/>
          <w:lang w:val="pt-BR"/>
        </w:rPr>
        <w:t xml:space="preserve"> influencia</w:t>
      </w:r>
      <w:r w:rsidR="003211AE" w:rsidRPr="00A232C9">
        <w:rPr>
          <w:rFonts w:ascii="Times New Roman" w:hAnsi="Times New Roman"/>
          <w:sz w:val="24"/>
          <w:szCs w:val="24"/>
          <w:lang w:val="pt-BR"/>
        </w:rPr>
        <w:t xml:space="preserve"> a tomada de decisão de usuários internos e externos, </w:t>
      </w:r>
      <w:r w:rsidR="00E1752D" w:rsidRPr="00A232C9">
        <w:rPr>
          <w:rFonts w:ascii="Times New Roman" w:hAnsi="Times New Roman"/>
          <w:sz w:val="24"/>
          <w:szCs w:val="24"/>
          <w:lang w:val="pt-BR"/>
        </w:rPr>
        <w:t>prejudica a aplicação d</w:t>
      </w:r>
      <w:r w:rsidR="003211AE" w:rsidRPr="00A232C9">
        <w:rPr>
          <w:rFonts w:ascii="Times New Roman" w:hAnsi="Times New Roman"/>
          <w:sz w:val="24"/>
          <w:szCs w:val="24"/>
          <w:lang w:val="pt-BR"/>
        </w:rPr>
        <w:t>a característica qua</w:t>
      </w:r>
      <w:r w:rsidR="00E1752D" w:rsidRPr="00A232C9">
        <w:rPr>
          <w:rFonts w:ascii="Times New Roman" w:hAnsi="Times New Roman"/>
          <w:sz w:val="24"/>
          <w:szCs w:val="24"/>
          <w:lang w:val="pt-BR"/>
        </w:rPr>
        <w:t xml:space="preserve">litativa de comparabilidade por permitir diferentes </w:t>
      </w:r>
      <w:r w:rsidR="004745F4" w:rsidRPr="00A232C9">
        <w:rPr>
          <w:rFonts w:ascii="Times New Roman" w:hAnsi="Times New Roman"/>
          <w:sz w:val="24"/>
          <w:szCs w:val="24"/>
          <w:lang w:val="pt-BR"/>
        </w:rPr>
        <w:t>formas</w:t>
      </w:r>
      <w:r w:rsidR="00E1752D" w:rsidRPr="00A232C9">
        <w:rPr>
          <w:rFonts w:ascii="Times New Roman" w:hAnsi="Times New Roman"/>
          <w:sz w:val="24"/>
          <w:szCs w:val="24"/>
          <w:lang w:val="pt-BR"/>
        </w:rPr>
        <w:t xml:space="preserve"> de mensuração </w:t>
      </w:r>
      <w:r w:rsidR="006C7BA3" w:rsidRPr="00A232C9">
        <w:rPr>
          <w:rFonts w:ascii="Times New Roman" w:hAnsi="Times New Roman"/>
          <w:sz w:val="24"/>
          <w:szCs w:val="24"/>
          <w:lang w:val="pt-BR"/>
        </w:rPr>
        <w:t>p</w:t>
      </w:r>
      <w:r w:rsidR="004D4183">
        <w:rPr>
          <w:rFonts w:ascii="Times New Roman" w:hAnsi="Times New Roman"/>
          <w:sz w:val="24"/>
          <w:szCs w:val="24"/>
          <w:lang w:val="pt-BR"/>
        </w:rPr>
        <w:t>ara fatos semelhantes e reduz</w:t>
      </w:r>
      <w:r w:rsidR="00E1752D" w:rsidRPr="00A232C9">
        <w:rPr>
          <w:rFonts w:ascii="Times New Roman" w:hAnsi="Times New Roman"/>
          <w:sz w:val="24"/>
          <w:szCs w:val="24"/>
          <w:lang w:val="pt-BR"/>
        </w:rPr>
        <w:t xml:space="preserve"> a utilidade das informações </w:t>
      </w:r>
      <w:r w:rsidR="00E1752D" w:rsidRPr="00DF431B">
        <w:rPr>
          <w:rFonts w:ascii="Times New Roman" w:hAnsi="Times New Roman"/>
          <w:sz w:val="24"/>
          <w:szCs w:val="24"/>
          <w:lang w:val="pt-BR"/>
        </w:rPr>
        <w:t xml:space="preserve">contábeis </w:t>
      </w:r>
      <w:r w:rsidR="00DF431B" w:rsidRPr="00DF431B">
        <w:rPr>
          <w:rFonts w:ascii="Times New Roman" w:hAnsi="Times New Roman"/>
          <w:sz w:val="24"/>
          <w:szCs w:val="24"/>
          <w:lang w:val="pt-BR"/>
        </w:rPr>
        <w:t>(ANDRADE; SILVA; MALAQUIAS, 2013</w:t>
      </w:r>
      <w:r w:rsidR="00E1752D" w:rsidRPr="00DF431B">
        <w:rPr>
          <w:rFonts w:ascii="Times New Roman" w:hAnsi="Times New Roman"/>
          <w:sz w:val="24"/>
          <w:szCs w:val="24"/>
          <w:lang w:val="pt-BR"/>
        </w:rPr>
        <w:t>).</w:t>
      </w:r>
    </w:p>
    <w:p w14:paraId="32A16FA9" w14:textId="44E2AA94" w:rsidR="006C7BA3" w:rsidRPr="00DF431B" w:rsidRDefault="00BA3DF9"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E6023D" w:rsidRPr="00DF431B">
        <w:rPr>
          <w:rFonts w:ascii="Times New Roman" w:hAnsi="Times New Roman"/>
          <w:sz w:val="24"/>
          <w:szCs w:val="24"/>
          <w:lang w:val="pt-BR"/>
        </w:rPr>
        <w:t xml:space="preserve">As escolhas contábeis podem ser </w:t>
      </w:r>
      <w:r w:rsidR="000F270C" w:rsidRPr="00DF431B">
        <w:rPr>
          <w:rFonts w:ascii="Times New Roman" w:hAnsi="Times New Roman"/>
          <w:sz w:val="24"/>
          <w:szCs w:val="24"/>
          <w:lang w:val="pt-BR"/>
        </w:rPr>
        <w:t xml:space="preserve">observadas na contabilização de programas de fidelização de clientes </w:t>
      </w:r>
      <w:r w:rsidR="00DF431B" w:rsidRPr="00DF431B">
        <w:rPr>
          <w:rFonts w:ascii="Times New Roman" w:hAnsi="Times New Roman"/>
          <w:sz w:val="24"/>
          <w:szCs w:val="24"/>
          <w:lang w:val="pt-BR"/>
        </w:rPr>
        <w:t xml:space="preserve">(ARAÚJO; SOUZA; LEMES, 2015); </w:t>
      </w:r>
      <w:r w:rsidR="000F270C" w:rsidRPr="00DF431B">
        <w:rPr>
          <w:rFonts w:ascii="Times New Roman" w:hAnsi="Times New Roman"/>
          <w:sz w:val="24"/>
          <w:szCs w:val="24"/>
          <w:lang w:val="pt-BR"/>
        </w:rPr>
        <w:t>na mensuração, avaliação e evidenciação de estoques</w:t>
      </w:r>
      <w:r w:rsidR="00DF431B" w:rsidRPr="00DF431B">
        <w:rPr>
          <w:rFonts w:ascii="Times New Roman" w:hAnsi="Times New Roman"/>
          <w:sz w:val="24"/>
          <w:szCs w:val="24"/>
          <w:lang w:val="pt-BR"/>
        </w:rPr>
        <w:t xml:space="preserve"> (COELHO; CAMPAGNONI; ROVER, 2016)</w:t>
      </w:r>
      <w:r w:rsidR="000F270C" w:rsidRPr="00DF431B">
        <w:rPr>
          <w:rFonts w:ascii="Times New Roman" w:hAnsi="Times New Roman"/>
          <w:sz w:val="24"/>
          <w:szCs w:val="24"/>
          <w:lang w:val="pt-BR"/>
        </w:rPr>
        <w:t xml:space="preserve">;  no tratamento contábil de ativos intangíveis </w:t>
      </w:r>
      <w:r w:rsidR="00DF431B" w:rsidRPr="00DF431B">
        <w:rPr>
          <w:rFonts w:ascii="Times New Roman" w:hAnsi="Times New Roman"/>
          <w:sz w:val="24"/>
          <w:szCs w:val="24"/>
          <w:lang w:val="pt-BR"/>
        </w:rPr>
        <w:t>(SOUZA; SILVA; COSTA, 2013)</w:t>
      </w:r>
      <w:r w:rsidR="000479F4" w:rsidRPr="00DF431B">
        <w:rPr>
          <w:rFonts w:ascii="Times New Roman" w:hAnsi="Times New Roman"/>
          <w:sz w:val="24"/>
          <w:szCs w:val="24"/>
          <w:lang w:val="pt-BR"/>
        </w:rPr>
        <w:t xml:space="preserve">; </w:t>
      </w:r>
      <w:r w:rsidR="00A17FDA" w:rsidRPr="00DF431B">
        <w:rPr>
          <w:rFonts w:ascii="Times New Roman" w:hAnsi="Times New Roman"/>
          <w:sz w:val="24"/>
          <w:szCs w:val="24"/>
          <w:lang w:val="pt-BR"/>
        </w:rPr>
        <w:t xml:space="preserve">e </w:t>
      </w:r>
      <w:r w:rsidR="000479F4" w:rsidRPr="00DF431B">
        <w:rPr>
          <w:rFonts w:ascii="Times New Roman" w:hAnsi="Times New Roman"/>
          <w:sz w:val="24"/>
          <w:szCs w:val="24"/>
          <w:lang w:val="pt-BR"/>
        </w:rPr>
        <w:t xml:space="preserve">na mensuração de ativos biológicos </w:t>
      </w:r>
      <w:r w:rsidR="00DF431B" w:rsidRPr="00DF431B">
        <w:rPr>
          <w:rFonts w:ascii="Times New Roman" w:hAnsi="Times New Roman"/>
          <w:sz w:val="24"/>
          <w:szCs w:val="24"/>
          <w:lang w:val="pt-BR"/>
        </w:rPr>
        <w:t>(BOTINHA; SANTOS; LEMES, 2013)</w:t>
      </w:r>
      <w:r w:rsidR="000F270C" w:rsidRPr="00DF431B">
        <w:rPr>
          <w:rFonts w:ascii="Times New Roman" w:hAnsi="Times New Roman"/>
          <w:sz w:val="24"/>
          <w:szCs w:val="24"/>
          <w:lang w:val="pt-BR"/>
        </w:rPr>
        <w:t xml:space="preserve">. </w:t>
      </w:r>
      <w:r w:rsidR="00C5511D">
        <w:rPr>
          <w:rFonts w:ascii="Times New Roman" w:hAnsi="Times New Roman"/>
          <w:sz w:val="24"/>
          <w:szCs w:val="24"/>
          <w:lang w:val="pt-BR"/>
        </w:rPr>
        <w:t>D</w:t>
      </w:r>
      <w:r w:rsidR="00925E87" w:rsidRPr="00DF431B">
        <w:rPr>
          <w:rFonts w:ascii="Times New Roman" w:hAnsi="Times New Roman"/>
          <w:sz w:val="24"/>
          <w:szCs w:val="24"/>
          <w:lang w:val="pt-BR"/>
        </w:rPr>
        <w:t xml:space="preserve">estaca-se </w:t>
      </w:r>
      <w:r w:rsidR="004745F4" w:rsidRPr="00DF431B">
        <w:rPr>
          <w:rFonts w:ascii="Times New Roman" w:hAnsi="Times New Roman"/>
          <w:sz w:val="24"/>
          <w:szCs w:val="24"/>
          <w:lang w:val="pt-BR"/>
        </w:rPr>
        <w:t xml:space="preserve">como foco deste estudo </w:t>
      </w:r>
      <w:r w:rsidR="00925E87" w:rsidRPr="00DF431B">
        <w:rPr>
          <w:rFonts w:ascii="Times New Roman" w:hAnsi="Times New Roman"/>
          <w:sz w:val="24"/>
          <w:szCs w:val="24"/>
          <w:lang w:val="pt-BR"/>
        </w:rPr>
        <w:t>a escolha contábil existente na mensuração posterior ao reconhecimento inicial das</w:t>
      </w:r>
      <w:r w:rsidR="00A17FDA" w:rsidRPr="00DF431B">
        <w:rPr>
          <w:rFonts w:ascii="Times New Roman" w:hAnsi="Times New Roman"/>
          <w:sz w:val="24"/>
          <w:szCs w:val="24"/>
          <w:lang w:val="pt-BR"/>
        </w:rPr>
        <w:t xml:space="preserve"> </w:t>
      </w:r>
      <w:r w:rsidR="002E6B3A">
        <w:rPr>
          <w:rFonts w:ascii="Times New Roman" w:hAnsi="Times New Roman"/>
          <w:sz w:val="24"/>
          <w:szCs w:val="24"/>
          <w:lang w:val="pt-BR"/>
        </w:rPr>
        <w:t>PPI</w:t>
      </w:r>
      <w:r w:rsidR="004745F4" w:rsidRPr="00DF431B">
        <w:rPr>
          <w:rFonts w:ascii="Times New Roman" w:hAnsi="Times New Roman"/>
          <w:sz w:val="24"/>
          <w:szCs w:val="24"/>
          <w:lang w:val="pt-BR"/>
        </w:rPr>
        <w:t>.</w:t>
      </w:r>
    </w:p>
    <w:p w14:paraId="76458720" w14:textId="72B4DEBF" w:rsidR="00842FC7" w:rsidRPr="00A232C9" w:rsidRDefault="004745F4"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As pesquisas acerca da comparabilidade dividem-se principalmente em duas vertentes: a vertente que </w:t>
      </w:r>
      <w:r w:rsidRPr="00DF431B">
        <w:rPr>
          <w:rFonts w:ascii="Times New Roman" w:hAnsi="Times New Roman"/>
          <w:sz w:val="24"/>
          <w:szCs w:val="24"/>
          <w:lang w:val="pt-BR"/>
        </w:rPr>
        <w:t>avalia o impacto da adoção das IFRS em variáveis contábeis internas e no mercado de capitais, analisando a melhoria da comparabilidade; e a que identifica o nível de comparabilidade a partir da existência de escolhas contábeis nas empresas</w:t>
      </w:r>
      <w:r w:rsidR="00B74F01" w:rsidRPr="00DF431B">
        <w:rPr>
          <w:rFonts w:ascii="Times New Roman" w:hAnsi="Times New Roman"/>
          <w:sz w:val="24"/>
          <w:szCs w:val="24"/>
          <w:lang w:val="pt-BR"/>
        </w:rPr>
        <w:t xml:space="preserve"> </w:t>
      </w:r>
      <w:r w:rsidR="00DF431B" w:rsidRPr="00DF431B">
        <w:rPr>
          <w:rFonts w:ascii="Times New Roman" w:hAnsi="Times New Roman"/>
          <w:sz w:val="24"/>
          <w:szCs w:val="24"/>
          <w:lang w:val="pt-BR"/>
        </w:rPr>
        <w:t>(SOUZA; LEMES, 2016)</w:t>
      </w:r>
      <w:r w:rsidRPr="00DF431B">
        <w:rPr>
          <w:rFonts w:ascii="Times New Roman" w:hAnsi="Times New Roman"/>
          <w:sz w:val="24"/>
          <w:szCs w:val="24"/>
          <w:lang w:val="pt-BR"/>
        </w:rPr>
        <w:t>.</w:t>
      </w:r>
      <w:r w:rsidR="00B74F01" w:rsidRPr="00DF431B">
        <w:rPr>
          <w:rFonts w:ascii="Times New Roman" w:hAnsi="Times New Roman"/>
          <w:sz w:val="24"/>
          <w:szCs w:val="24"/>
          <w:lang w:val="pt-BR"/>
        </w:rPr>
        <w:t xml:space="preserve"> De acordo com Cole, Branson</w:t>
      </w:r>
      <w:r w:rsidR="00B74F01" w:rsidRPr="00A232C9">
        <w:rPr>
          <w:rFonts w:ascii="Times New Roman" w:hAnsi="Times New Roman"/>
          <w:sz w:val="24"/>
          <w:szCs w:val="24"/>
          <w:lang w:val="pt-BR"/>
        </w:rPr>
        <w:t xml:space="preserve"> e Breesc</w:t>
      </w:r>
      <w:r w:rsidR="00DA6273" w:rsidRPr="00A232C9">
        <w:rPr>
          <w:rFonts w:ascii="Times New Roman" w:hAnsi="Times New Roman"/>
          <w:sz w:val="24"/>
          <w:szCs w:val="24"/>
          <w:lang w:val="pt-BR"/>
        </w:rPr>
        <w:t xml:space="preserve">h (2008), a comparabilidade </w:t>
      </w:r>
      <w:r w:rsidR="00B74F01" w:rsidRPr="00A232C9">
        <w:rPr>
          <w:rFonts w:ascii="Times New Roman" w:hAnsi="Times New Roman"/>
          <w:sz w:val="24"/>
          <w:szCs w:val="24"/>
          <w:lang w:val="pt-BR"/>
        </w:rPr>
        <w:t xml:space="preserve">pode ser mensurada por técnicas baseadas em índices ou modelos estatísticos. Além </w:t>
      </w:r>
      <w:r w:rsidR="00546657" w:rsidRPr="00A232C9">
        <w:rPr>
          <w:rFonts w:ascii="Times New Roman" w:hAnsi="Times New Roman"/>
          <w:sz w:val="24"/>
          <w:szCs w:val="24"/>
          <w:lang w:val="pt-BR"/>
        </w:rPr>
        <w:t>de o</w:t>
      </w:r>
      <w:r w:rsidR="00B74F01" w:rsidRPr="00A232C9">
        <w:rPr>
          <w:rFonts w:ascii="Times New Roman" w:hAnsi="Times New Roman"/>
          <w:sz w:val="24"/>
          <w:szCs w:val="24"/>
          <w:lang w:val="pt-BR"/>
        </w:rPr>
        <w:t xml:space="preserve">s autores </w:t>
      </w:r>
      <w:r w:rsidR="00546657" w:rsidRPr="00A232C9">
        <w:rPr>
          <w:rFonts w:ascii="Times New Roman" w:hAnsi="Times New Roman"/>
          <w:sz w:val="24"/>
          <w:szCs w:val="24"/>
          <w:lang w:val="pt-BR"/>
        </w:rPr>
        <w:t xml:space="preserve">explorarem </w:t>
      </w:r>
      <w:r w:rsidR="00B74F01" w:rsidRPr="00A232C9">
        <w:rPr>
          <w:rFonts w:ascii="Times New Roman" w:hAnsi="Times New Roman"/>
          <w:sz w:val="24"/>
          <w:szCs w:val="24"/>
          <w:lang w:val="pt-BR"/>
        </w:rPr>
        <w:t>características dos índices H, C, I, V e T.</w:t>
      </w:r>
    </w:p>
    <w:p w14:paraId="645DC392" w14:textId="356464DA" w:rsidR="00842FC7" w:rsidRPr="00A232C9" w:rsidRDefault="00446B2F"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Van der Tas (1988) foi responsável por introduzir os primeiros índices de mensuração da comparabilidade das Demonstrações Finan</w:t>
      </w:r>
      <w:r w:rsidR="00985E4E" w:rsidRPr="00A232C9">
        <w:rPr>
          <w:rFonts w:ascii="Times New Roman" w:hAnsi="Times New Roman"/>
          <w:sz w:val="24"/>
          <w:szCs w:val="24"/>
          <w:lang w:val="pt-BR"/>
        </w:rPr>
        <w:t xml:space="preserve">ceiras: os índices H, C e I. O Índice Herfindahl (Índice </w:t>
      </w:r>
      <w:r w:rsidRPr="00A232C9">
        <w:rPr>
          <w:rFonts w:ascii="Times New Roman" w:hAnsi="Times New Roman"/>
          <w:sz w:val="24"/>
          <w:szCs w:val="24"/>
          <w:lang w:val="pt-BR"/>
        </w:rPr>
        <w:t>H</w:t>
      </w:r>
      <w:r w:rsidR="00985E4E" w:rsidRPr="00A232C9">
        <w:rPr>
          <w:rFonts w:ascii="Times New Roman" w:hAnsi="Times New Roman"/>
          <w:sz w:val="24"/>
          <w:szCs w:val="24"/>
          <w:lang w:val="pt-BR"/>
        </w:rPr>
        <w:t>)</w:t>
      </w:r>
      <w:r w:rsidRPr="00A232C9">
        <w:rPr>
          <w:rFonts w:ascii="Times New Roman" w:hAnsi="Times New Roman"/>
          <w:sz w:val="24"/>
          <w:szCs w:val="24"/>
          <w:lang w:val="pt-BR"/>
        </w:rPr>
        <w:t xml:space="preserve"> </w:t>
      </w:r>
      <w:r w:rsidR="00842FC7" w:rsidRPr="00A232C9">
        <w:rPr>
          <w:rFonts w:ascii="Times New Roman" w:hAnsi="Times New Roman"/>
          <w:sz w:val="24"/>
          <w:szCs w:val="24"/>
          <w:lang w:val="pt-BR"/>
        </w:rPr>
        <w:t>foi</w:t>
      </w:r>
      <w:r w:rsidR="009E3DE8" w:rsidRPr="00A232C9">
        <w:rPr>
          <w:rFonts w:ascii="Times New Roman" w:hAnsi="Times New Roman"/>
          <w:sz w:val="24"/>
          <w:szCs w:val="24"/>
          <w:lang w:val="pt-BR"/>
        </w:rPr>
        <w:t xml:space="preserve"> inicialmente desenvolvido pela Herfindahl</w:t>
      </w:r>
      <w:r w:rsidR="00842FC7" w:rsidRPr="00A232C9">
        <w:rPr>
          <w:rFonts w:ascii="Times New Roman" w:hAnsi="Times New Roman"/>
          <w:sz w:val="24"/>
          <w:szCs w:val="24"/>
          <w:lang w:val="pt-BR"/>
        </w:rPr>
        <w:t xml:space="preserve"> como uma medida de concentração industrial e ajustado por Hirschman, porém introduzido apenas </w:t>
      </w:r>
      <w:r w:rsidR="00546657" w:rsidRPr="00A232C9">
        <w:rPr>
          <w:rFonts w:ascii="Times New Roman" w:hAnsi="Times New Roman"/>
          <w:sz w:val="24"/>
          <w:szCs w:val="24"/>
          <w:lang w:val="pt-BR"/>
        </w:rPr>
        <w:t>em</w:t>
      </w:r>
      <w:r w:rsidR="00842FC7" w:rsidRPr="00A232C9">
        <w:rPr>
          <w:rFonts w:ascii="Times New Roman" w:hAnsi="Times New Roman"/>
          <w:sz w:val="24"/>
          <w:szCs w:val="24"/>
          <w:lang w:val="pt-BR"/>
        </w:rPr>
        <w:t xml:space="preserve"> 1988 por Van der Tas. É um índice de concentração que pondera as frequências relativas de cada método contábil </w:t>
      </w:r>
      <w:r w:rsidRPr="00A232C9">
        <w:rPr>
          <w:rFonts w:ascii="Times New Roman" w:hAnsi="Times New Roman"/>
          <w:sz w:val="24"/>
          <w:szCs w:val="24"/>
          <w:lang w:val="pt-BR"/>
        </w:rPr>
        <w:t xml:space="preserve">entre si. </w:t>
      </w:r>
      <w:r w:rsidR="00842FC7" w:rsidRPr="00A232C9">
        <w:rPr>
          <w:rFonts w:ascii="Times New Roman" w:hAnsi="Times New Roman"/>
          <w:sz w:val="24"/>
          <w:szCs w:val="24"/>
          <w:lang w:val="pt-BR"/>
        </w:rPr>
        <w:t xml:space="preserve">A frequência relativa é obtida pela divisão entre o número de empresas optantes por determinada prática contábil e o número total de empresas. </w:t>
      </w:r>
      <w:r w:rsidR="00331DF9" w:rsidRPr="00A232C9">
        <w:rPr>
          <w:rFonts w:ascii="Times New Roman" w:hAnsi="Times New Roman"/>
          <w:sz w:val="24"/>
          <w:szCs w:val="24"/>
          <w:lang w:val="pt-BR"/>
        </w:rPr>
        <w:t>O</w:t>
      </w:r>
      <w:r w:rsidR="00842FC7" w:rsidRPr="00A232C9">
        <w:rPr>
          <w:rFonts w:ascii="Times New Roman" w:hAnsi="Times New Roman"/>
          <w:sz w:val="24"/>
          <w:szCs w:val="24"/>
          <w:lang w:val="pt-BR"/>
        </w:rPr>
        <w:t xml:space="preserve"> índice H revela uma maior comparabilidade quando as empresas concentra</w:t>
      </w:r>
      <w:r w:rsidR="00F26AB7" w:rsidRPr="00A232C9">
        <w:rPr>
          <w:rFonts w:ascii="Times New Roman" w:hAnsi="Times New Roman"/>
          <w:sz w:val="24"/>
          <w:szCs w:val="24"/>
          <w:lang w:val="pt-BR"/>
        </w:rPr>
        <w:t>m-se em ap</w:t>
      </w:r>
      <w:r w:rsidR="00546657" w:rsidRPr="00A232C9">
        <w:rPr>
          <w:rFonts w:ascii="Times New Roman" w:hAnsi="Times New Roman"/>
          <w:sz w:val="24"/>
          <w:szCs w:val="24"/>
          <w:lang w:val="pt-BR"/>
        </w:rPr>
        <w:t xml:space="preserve">enas um único método, e seus </w:t>
      </w:r>
      <w:r w:rsidR="00F26AB7" w:rsidRPr="00A232C9">
        <w:rPr>
          <w:rFonts w:ascii="Times New Roman" w:hAnsi="Times New Roman"/>
          <w:sz w:val="24"/>
          <w:szCs w:val="24"/>
          <w:lang w:val="pt-BR"/>
        </w:rPr>
        <w:t xml:space="preserve">valores </w:t>
      </w:r>
      <w:r w:rsidR="00546657" w:rsidRPr="00A232C9">
        <w:rPr>
          <w:rFonts w:ascii="Times New Roman" w:hAnsi="Times New Roman"/>
          <w:sz w:val="24"/>
          <w:szCs w:val="24"/>
          <w:lang w:val="pt-BR"/>
        </w:rPr>
        <w:t>variam</w:t>
      </w:r>
      <w:r w:rsidR="00F26AB7" w:rsidRPr="00A232C9">
        <w:rPr>
          <w:rFonts w:ascii="Times New Roman" w:hAnsi="Times New Roman"/>
          <w:sz w:val="24"/>
          <w:szCs w:val="24"/>
          <w:lang w:val="pt-BR"/>
        </w:rPr>
        <w:t xml:space="preserve"> entre 0 e 1.</w:t>
      </w:r>
    </w:p>
    <w:p w14:paraId="7C249612" w14:textId="0C30B8A2" w:rsidR="00842FC7" w:rsidRPr="00A232C9" w:rsidRDefault="00446B2F"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O Índice de Comparabilidade (</w:t>
      </w:r>
      <w:r w:rsidR="00985E4E" w:rsidRPr="00A232C9">
        <w:rPr>
          <w:rFonts w:ascii="Times New Roman" w:hAnsi="Times New Roman"/>
          <w:sz w:val="24"/>
          <w:szCs w:val="24"/>
          <w:lang w:val="pt-BR"/>
        </w:rPr>
        <w:t xml:space="preserve">Índice </w:t>
      </w:r>
      <w:r w:rsidRPr="00A232C9">
        <w:rPr>
          <w:rFonts w:ascii="Times New Roman" w:hAnsi="Times New Roman"/>
          <w:sz w:val="24"/>
          <w:szCs w:val="24"/>
          <w:lang w:val="pt-BR"/>
        </w:rPr>
        <w:t>C)</w:t>
      </w:r>
      <w:r w:rsidR="00842FC7" w:rsidRPr="00A232C9">
        <w:rPr>
          <w:rFonts w:ascii="Times New Roman" w:hAnsi="Times New Roman"/>
          <w:sz w:val="24"/>
          <w:szCs w:val="24"/>
          <w:lang w:val="pt-BR"/>
        </w:rPr>
        <w:t xml:space="preserve">, também </w:t>
      </w:r>
      <w:r w:rsidR="00985E4E" w:rsidRPr="00A232C9">
        <w:rPr>
          <w:rFonts w:ascii="Times New Roman" w:hAnsi="Times New Roman"/>
          <w:sz w:val="24"/>
          <w:szCs w:val="24"/>
          <w:lang w:val="pt-BR"/>
        </w:rPr>
        <w:t>introduzido</w:t>
      </w:r>
      <w:r w:rsidR="00842FC7" w:rsidRPr="00A232C9">
        <w:rPr>
          <w:rFonts w:ascii="Times New Roman" w:hAnsi="Times New Roman"/>
          <w:sz w:val="24"/>
          <w:szCs w:val="24"/>
          <w:lang w:val="pt-BR"/>
        </w:rPr>
        <w:t xml:space="preserve"> por Van der Tas em 1988, tem como base o número de pares de empresas compatí</w:t>
      </w:r>
      <w:r w:rsidR="00E90D54" w:rsidRPr="00A232C9">
        <w:rPr>
          <w:rFonts w:ascii="Times New Roman" w:hAnsi="Times New Roman"/>
          <w:sz w:val="24"/>
          <w:szCs w:val="24"/>
          <w:lang w:val="pt-BR"/>
        </w:rPr>
        <w:t>v</w:t>
      </w:r>
      <w:r w:rsidR="00842FC7" w:rsidRPr="00A232C9">
        <w:rPr>
          <w:rFonts w:ascii="Times New Roman" w:hAnsi="Times New Roman"/>
          <w:sz w:val="24"/>
          <w:szCs w:val="24"/>
          <w:lang w:val="pt-BR"/>
        </w:rPr>
        <w:t>eis e o número de emparelhamentos possíveis.</w:t>
      </w:r>
      <w:r w:rsidR="00E90D54" w:rsidRPr="00A232C9">
        <w:rPr>
          <w:rFonts w:ascii="Times New Roman" w:hAnsi="Times New Roman"/>
          <w:sz w:val="24"/>
          <w:szCs w:val="24"/>
          <w:lang w:val="pt-BR"/>
        </w:rPr>
        <w:t xml:space="preserve"> </w:t>
      </w:r>
      <w:r w:rsidR="00331DF9" w:rsidRPr="00A232C9">
        <w:rPr>
          <w:rFonts w:ascii="Times New Roman" w:hAnsi="Times New Roman"/>
          <w:sz w:val="24"/>
          <w:szCs w:val="24"/>
          <w:lang w:val="pt-BR"/>
        </w:rPr>
        <w:t>E</w:t>
      </w:r>
      <w:r w:rsidR="00E90D54" w:rsidRPr="00A232C9">
        <w:rPr>
          <w:rFonts w:ascii="Times New Roman" w:hAnsi="Times New Roman"/>
          <w:sz w:val="24"/>
          <w:szCs w:val="24"/>
          <w:lang w:val="pt-BR"/>
        </w:rPr>
        <w:t xml:space="preserve">ste índice </w:t>
      </w:r>
      <w:r w:rsidR="00985E4E" w:rsidRPr="00A232C9">
        <w:rPr>
          <w:rFonts w:ascii="Times New Roman" w:hAnsi="Times New Roman"/>
          <w:sz w:val="24"/>
          <w:szCs w:val="24"/>
          <w:lang w:val="pt-BR"/>
        </w:rPr>
        <w:t>mensura</w:t>
      </w:r>
      <w:r w:rsidR="00E90D54" w:rsidRPr="00A232C9">
        <w:rPr>
          <w:rFonts w:ascii="Times New Roman" w:hAnsi="Times New Roman"/>
          <w:sz w:val="24"/>
          <w:szCs w:val="24"/>
          <w:lang w:val="pt-BR"/>
        </w:rPr>
        <w:t xml:space="preserve"> a probabilidade de duas empresas sel</w:t>
      </w:r>
      <w:r w:rsidR="00985E4E" w:rsidRPr="00A232C9">
        <w:rPr>
          <w:rFonts w:ascii="Times New Roman" w:hAnsi="Times New Roman"/>
          <w:sz w:val="24"/>
          <w:szCs w:val="24"/>
          <w:lang w:val="pt-BR"/>
        </w:rPr>
        <w:t xml:space="preserve">ecionadas aleatoriamente </w:t>
      </w:r>
      <w:r w:rsidR="00985E4E" w:rsidRPr="00DF431B">
        <w:rPr>
          <w:rFonts w:ascii="Times New Roman" w:hAnsi="Times New Roman"/>
          <w:sz w:val="24"/>
          <w:szCs w:val="24"/>
          <w:lang w:val="pt-BR"/>
        </w:rPr>
        <w:t>possuírem</w:t>
      </w:r>
      <w:r w:rsidR="00E90D54" w:rsidRPr="00DF431B">
        <w:rPr>
          <w:rFonts w:ascii="Times New Roman" w:hAnsi="Times New Roman"/>
          <w:sz w:val="24"/>
          <w:szCs w:val="24"/>
          <w:lang w:val="pt-BR"/>
        </w:rPr>
        <w:t xml:space="preserve"> contas comparáveis. Apresenta va</w:t>
      </w:r>
      <w:r w:rsidR="00985E4E" w:rsidRPr="00DF431B">
        <w:rPr>
          <w:rFonts w:ascii="Times New Roman" w:hAnsi="Times New Roman"/>
          <w:sz w:val="24"/>
          <w:szCs w:val="24"/>
          <w:lang w:val="pt-BR"/>
        </w:rPr>
        <w:t>riações entre 0 e 1 e pode</w:t>
      </w:r>
      <w:r w:rsidR="00E90D54" w:rsidRPr="00DF431B">
        <w:rPr>
          <w:rFonts w:ascii="Times New Roman" w:hAnsi="Times New Roman"/>
          <w:sz w:val="24"/>
          <w:szCs w:val="24"/>
          <w:lang w:val="pt-BR"/>
        </w:rPr>
        <w:t xml:space="preserve"> igual</w:t>
      </w:r>
      <w:r w:rsidR="00985E4E" w:rsidRPr="00DF431B">
        <w:rPr>
          <w:rFonts w:ascii="Times New Roman" w:hAnsi="Times New Roman"/>
          <w:sz w:val="24"/>
          <w:szCs w:val="24"/>
          <w:lang w:val="pt-BR"/>
        </w:rPr>
        <w:t>ar-se</w:t>
      </w:r>
      <w:r w:rsidR="00E90D54" w:rsidRPr="00DF431B">
        <w:rPr>
          <w:rFonts w:ascii="Times New Roman" w:hAnsi="Times New Roman"/>
          <w:sz w:val="24"/>
          <w:szCs w:val="24"/>
          <w:lang w:val="pt-BR"/>
        </w:rPr>
        <w:t xml:space="preserve"> ao índice H se o número de empresas for </w:t>
      </w:r>
      <w:r w:rsidR="00985E4E" w:rsidRPr="00DF431B">
        <w:rPr>
          <w:rFonts w:ascii="Times New Roman" w:hAnsi="Times New Roman"/>
          <w:sz w:val="24"/>
          <w:szCs w:val="24"/>
          <w:lang w:val="pt-BR"/>
        </w:rPr>
        <w:t xml:space="preserve">suficientemente </w:t>
      </w:r>
      <w:r w:rsidR="00E90D54" w:rsidRPr="00DF431B">
        <w:rPr>
          <w:rFonts w:ascii="Times New Roman" w:hAnsi="Times New Roman"/>
          <w:sz w:val="24"/>
          <w:szCs w:val="24"/>
          <w:lang w:val="pt-BR"/>
        </w:rPr>
        <w:t>grande e não houverem relatórios múltiplos</w:t>
      </w:r>
      <w:r w:rsidR="000A6B9A" w:rsidRPr="00DF431B">
        <w:rPr>
          <w:rFonts w:ascii="Times New Roman" w:hAnsi="Times New Roman"/>
          <w:sz w:val="24"/>
          <w:szCs w:val="24"/>
          <w:lang w:val="pt-BR"/>
        </w:rPr>
        <w:t xml:space="preserve"> </w:t>
      </w:r>
      <w:r w:rsidR="00DF431B" w:rsidRPr="00DF431B">
        <w:rPr>
          <w:rFonts w:ascii="Times New Roman" w:hAnsi="Times New Roman"/>
          <w:sz w:val="24"/>
          <w:szCs w:val="24"/>
          <w:lang w:val="pt-BR"/>
        </w:rPr>
        <w:t>(COLE; BRANSON; BREESCH, 2008, 2009)</w:t>
      </w:r>
      <w:r w:rsidR="00E90D54" w:rsidRPr="00DF431B">
        <w:rPr>
          <w:rFonts w:ascii="Times New Roman" w:hAnsi="Times New Roman"/>
          <w:sz w:val="24"/>
          <w:szCs w:val="24"/>
          <w:lang w:val="pt-BR"/>
        </w:rPr>
        <w:t>.</w:t>
      </w:r>
    </w:p>
    <w:p w14:paraId="229E2F2C" w14:textId="3CE4765F" w:rsidR="00E90D54" w:rsidRPr="00A232C9" w:rsidRDefault="00F26AB7"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O Índice I </w:t>
      </w:r>
      <w:r w:rsidR="00E90D54" w:rsidRPr="00A232C9">
        <w:rPr>
          <w:rFonts w:ascii="Times New Roman" w:hAnsi="Times New Roman"/>
          <w:sz w:val="24"/>
          <w:szCs w:val="24"/>
          <w:lang w:val="pt-BR"/>
        </w:rPr>
        <w:t xml:space="preserve">representa um índice de concentração, assim como o H, </w:t>
      </w:r>
      <w:r w:rsidRPr="00A232C9">
        <w:rPr>
          <w:rFonts w:ascii="Times New Roman" w:hAnsi="Times New Roman"/>
          <w:sz w:val="24"/>
          <w:szCs w:val="24"/>
          <w:lang w:val="pt-BR"/>
        </w:rPr>
        <w:t xml:space="preserve">e surgiu com a finalidade de ser uma medida de comparabilidade internacional de materiais. É importante destacar que este índice </w:t>
      </w:r>
      <w:r w:rsidR="00E90D54" w:rsidRPr="00A232C9">
        <w:rPr>
          <w:rFonts w:ascii="Times New Roman" w:hAnsi="Times New Roman"/>
          <w:sz w:val="24"/>
          <w:szCs w:val="24"/>
          <w:lang w:val="pt-BR"/>
        </w:rPr>
        <w:t xml:space="preserve">é um dos mais criticados entre </w:t>
      </w:r>
      <w:r w:rsidRPr="00A232C9">
        <w:rPr>
          <w:rFonts w:ascii="Times New Roman" w:hAnsi="Times New Roman"/>
          <w:sz w:val="24"/>
          <w:szCs w:val="24"/>
          <w:lang w:val="pt-BR"/>
        </w:rPr>
        <w:t xml:space="preserve">os </w:t>
      </w:r>
      <w:r w:rsidR="00E90D54" w:rsidRPr="00A232C9">
        <w:rPr>
          <w:rFonts w:ascii="Times New Roman" w:hAnsi="Times New Roman"/>
          <w:sz w:val="24"/>
          <w:szCs w:val="24"/>
          <w:lang w:val="pt-BR"/>
        </w:rPr>
        <w:t>introduzidos por Van der Tas em 1988.</w:t>
      </w:r>
      <w:r w:rsidRPr="00A232C9">
        <w:rPr>
          <w:rFonts w:ascii="Times New Roman" w:hAnsi="Times New Roman"/>
          <w:sz w:val="24"/>
          <w:szCs w:val="24"/>
          <w:lang w:val="pt-BR"/>
        </w:rPr>
        <w:t xml:space="preserve"> Ele indica</w:t>
      </w:r>
      <w:r w:rsidR="00E90D54" w:rsidRPr="00A232C9">
        <w:rPr>
          <w:rFonts w:ascii="Times New Roman" w:hAnsi="Times New Roman"/>
          <w:sz w:val="24"/>
          <w:szCs w:val="24"/>
          <w:lang w:val="pt-BR"/>
        </w:rPr>
        <w:t xml:space="preserve"> o grau em que as empresas pertencentes a um país aplicam o mesmo ou apenas um número limitado de métodos alternativos, em comparação com empresas de outros países. Este índice não leva em conta </w:t>
      </w:r>
      <w:r w:rsidR="00DB0D07" w:rsidRPr="00A232C9">
        <w:rPr>
          <w:rFonts w:ascii="Times New Roman" w:hAnsi="Times New Roman"/>
          <w:sz w:val="24"/>
          <w:szCs w:val="24"/>
          <w:lang w:val="pt-BR"/>
        </w:rPr>
        <w:t>relatórios múltiplos contábeis posto que</w:t>
      </w:r>
      <w:r w:rsidR="00E90D54" w:rsidRPr="00A232C9">
        <w:rPr>
          <w:rFonts w:ascii="Times New Roman" w:hAnsi="Times New Roman"/>
          <w:sz w:val="24"/>
          <w:szCs w:val="24"/>
          <w:lang w:val="pt-BR"/>
        </w:rPr>
        <w:t xml:space="preserve"> a empresa pode ser associada apenas a um método alternativo. Além d</w:t>
      </w:r>
      <w:r w:rsidRPr="00A232C9">
        <w:rPr>
          <w:rFonts w:ascii="Times New Roman" w:hAnsi="Times New Roman"/>
          <w:sz w:val="24"/>
          <w:szCs w:val="24"/>
          <w:lang w:val="pt-BR"/>
        </w:rPr>
        <w:t>iss</w:t>
      </w:r>
      <w:r w:rsidRPr="00962BA5">
        <w:rPr>
          <w:rFonts w:ascii="Times New Roman" w:hAnsi="Times New Roman"/>
          <w:sz w:val="24"/>
          <w:szCs w:val="24"/>
          <w:lang w:val="pt-BR"/>
        </w:rPr>
        <w:t xml:space="preserve">o, ignora a não divulgação, </w:t>
      </w:r>
      <w:r w:rsidR="00E90D54" w:rsidRPr="00962BA5">
        <w:rPr>
          <w:rFonts w:ascii="Times New Roman" w:hAnsi="Times New Roman"/>
          <w:sz w:val="24"/>
          <w:szCs w:val="24"/>
          <w:lang w:val="pt-BR"/>
        </w:rPr>
        <w:t>nã</w:t>
      </w:r>
      <w:r w:rsidRPr="00962BA5">
        <w:rPr>
          <w:rFonts w:ascii="Times New Roman" w:hAnsi="Times New Roman"/>
          <w:sz w:val="24"/>
          <w:szCs w:val="24"/>
          <w:lang w:val="pt-BR"/>
        </w:rPr>
        <w:t>o</w:t>
      </w:r>
      <w:r w:rsidR="00E90D54" w:rsidRPr="00962BA5">
        <w:rPr>
          <w:rFonts w:ascii="Times New Roman" w:hAnsi="Times New Roman"/>
          <w:sz w:val="24"/>
          <w:szCs w:val="24"/>
          <w:lang w:val="pt-BR"/>
        </w:rPr>
        <w:t xml:space="preserve"> apresenta a comparabilidade parcial</w:t>
      </w:r>
      <w:r w:rsidR="000A6B9A" w:rsidRPr="00962BA5">
        <w:rPr>
          <w:rFonts w:ascii="Times New Roman" w:hAnsi="Times New Roman"/>
          <w:sz w:val="24"/>
          <w:szCs w:val="24"/>
          <w:lang w:val="pt-BR"/>
        </w:rPr>
        <w:t xml:space="preserve"> </w:t>
      </w:r>
      <w:r w:rsidRPr="00962BA5">
        <w:rPr>
          <w:rFonts w:ascii="Times New Roman" w:hAnsi="Times New Roman"/>
          <w:sz w:val="24"/>
          <w:szCs w:val="24"/>
          <w:lang w:val="pt-BR"/>
        </w:rPr>
        <w:t xml:space="preserve">e seus valores flutuam entre 0 e 1 </w:t>
      </w:r>
      <w:r w:rsidR="00962BA5" w:rsidRPr="00962BA5">
        <w:rPr>
          <w:rFonts w:ascii="Times New Roman" w:hAnsi="Times New Roman"/>
          <w:sz w:val="24"/>
          <w:szCs w:val="24"/>
          <w:lang w:val="pt-BR"/>
        </w:rPr>
        <w:t>(COLE; BRANSON; BREESCH, 2008, 2009)</w:t>
      </w:r>
      <w:r w:rsidR="00E90D54" w:rsidRPr="00962BA5">
        <w:rPr>
          <w:rFonts w:ascii="Times New Roman" w:hAnsi="Times New Roman"/>
          <w:sz w:val="24"/>
          <w:szCs w:val="24"/>
          <w:lang w:val="pt-BR"/>
        </w:rPr>
        <w:t>.</w:t>
      </w:r>
    </w:p>
    <w:p w14:paraId="29845D90" w14:textId="49F3159C" w:rsidR="003F73C4" w:rsidRPr="00A232C9" w:rsidRDefault="003F73C4"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F27983" w:rsidRPr="00A232C9">
        <w:rPr>
          <w:rFonts w:ascii="Times New Roman" w:hAnsi="Times New Roman"/>
          <w:sz w:val="24"/>
          <w:szCs w:val="24"/>
          <w:lang w:val="pt-BR"/>
        </w:rPr>
        <w:t>De forma complementar aos índices de Van der Tas, Krisement introduziu em 1997 o Índice de Entropia,</w:t>
      </w:r>
      <w:r w:rsidRPr="00A232C9">
        <w:rPr>
          <w:rFonts w:ascii="Times New Roman" w:hAnsi="Times New Roman"/>
          <w:sz w:val="24"/>
          <w:szCs w:val="24"/>
          <w:lang w:val="pt-BR"/>
        </w:rPr>
        <w:t xml:space="preserve"> um método alternativo de índice de concentração</w:t>
      </w:r>
      <w:r w:rsidR="00F27983"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A entropia é uma medida inversa ao grau de comparabilidade. Assim, quando a entropia está em seu nível máximo, o nível de </w:t>
      </w:r>
      <w:r w:rsidRPr="00962BA5">
        <w:rPr>
          <w:rFonts w:ascii="Times New Roman" w:hAnsi="Times New Roman"/>
          <w:sz w:val="24"/>
          <w:szCs w:val="24"/>
          <w:lang w:val="pt-BR"/>
        </w:rPr>
        <w:t>comparabilidade é considerado mínimo. Posteriormente, o índice V foi desenvolvido para determinar se existem ou não pequenas diferenças entre regiões quando são comparadas práticas contábeis</w:t>
      </w:r>
      <w:r w:rsidR="000A6B9A" w:rsidRPr="00962BA5">
        <w:rPr>
          <w:rFonts w:ascii="Times New Roman" w:hAnsi="Times New Roman"/>
          <w:sz w:val="24"/>
          <w:szCs w:val="24"/>
          <w:lang w:val="pt-BR"/>
        </w:rPr>
        <w:t xml:space="preserve"> (</w:t>
      </w:r>
      <w:r w:rsidR="00962BA5" w:rsidRPr="00962BA5">
        <w:rPr>
          <w:rFonts w:ascii="Times New Roman" w:hAnsi="Times New Roman"/>
          <w:sz w:val="24"/>
          <w:szCs w:val="24"/>
          <w:lang w:val="pt-BR"/>
        </w:rPr>
        <w:t>COLE; BRANSON; BREESCH, 2008</w:t>
      </w:r>
      <w:r w:rsidR="000A6B9A" w:rsidRPr="00962BA5">
        <w:rPr>
          <w:rFonts w:ascii="Times New Roman" w:hAnsi="Times New Roman"/>
          <w:sz w:val="24"/>
          <w:szCs w:val="24"/>
          <w:lang w:val="pt-BR"/>
        </w:rPr>
        <w:t>)</w:t>
      </w:r>
      <w:r w:rsidRPr="00962BA5">
        <w:rPr>
          <w:rFonts w:ascii="Times New Roman" w:hAnsi="Times New Roman"/>
          <w:sz w:val="24"/>
          <w:szCs w:val="24"/>
          <w:lang w:val="pt-BR"/>
        </w:rPr>
        <w:t>.</w:t>
      </w:r>
    </w:p>
    <w:p w14:paraId="56062817" w14:textId="382517FB" w:rsidR="00842FC7" w:rsidRPr="00A232C9" w:rsidRDefault="00F27983"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lastRenderedPageBreak/>
        <w:tab/>
        <w:t xml:space="preserve">O último índice </w:t>
      </w:r>
      <w:r w:rsidR="00E0328E" w:rsidRPr="00A232C9">
        <w:rPr>
          <w:rFonts w:ascii="Times New Roman" w:hAnsi="Times New Roman"/>
          <w:sz w:val="24"/>
          <w:szCs w:val="24"/>
          <w:lang w:val="pt-BR"/>
        </w:rPr>
        <w:t>destaca-se</w:t>
      </w:r>
      <w:r w:rsidRPr="00A232C9">
        <w:rPr>
          <w:rFonts w:ascii="Times New Roman" w:hAnsi="Times New Roman"/>
          <w:sz w:val="24"/>
          <w:szCs w:val="24"/>
          <w:lang w:val="pt-BR"/>
        </w:rPr>
        <w:t xml:space="preserve"> como u</w:t>
      </w:r>
      <w:r w:rsidR="00DD32A4" w:rsidRPr="00A232C9">
        <w:rPr>
          <w:rFonts w:ascii="Times New Roman" w:hAnsi="Times New Roman"/>
          <w:sz w:val="24"/>
          <w:szCs w:val="24"/>
          <w:lang w:val="pt-BR"/>
        </w:rPr>
        <w:t>m dos mais importantes e complet</w:t>
      </w:r>
      <w:r w:rsidRPr="00A232C9">
        <w:rPr>
          <w:rFonts w:ascii="Times New Roman" w:hAnsi="Times New Roman"/>
          <w:sz w:val="24"/>
          <w:szCs w:val="24"/>
          <w:lang w:val="pt-BR"/>
        </w:rPr>
        <w:t>os em pesquisas acerca do nível de comparabilidade, o Í</w:t>
      </w:r>
      <w:r w:rsidR="003F73C4" w:rsidRPr="00A232C9">
        <w:rPr>
          <w:rFonts w:ascii="Times New Roman" w:hAnsi="Times New Roman"/>
          <w:sz w:val="24"/>
          <w:szCs w:val="24"/>
          <w:lang w:val="pt-BR"/>
        </w:rPr>
        <w:t>ndice T,</w:t>
      </w:r>
      <w:r w:rsidRPr="00A232C9">
        <w:rPr>
          <w:rFonts w:ascii="Times New Roman" w:hAnsi="Times New Roman"/>
          <w:sz w:val="24"/>
          <w:szCs w:val="24"/>
          <w:lang w:val="pt-BR"/>
        </w:rPr>
        <w:t xml:space="preserve"> foi</w:t>
      </w:r>
      <w:r w:rsidR="003F73C4"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introduzido por Taplin em 2004 e </w:t>
      </w:r>
      <w:r w:rsidR="003F73C4" w:rsidRPr="00A232C9">
        <w:rPr>
          <w:rFonts w:ascii="Times New Roman" w:hAnsi="Times New Roman"/>
          <w:sz w:val="24"/>
          <w:szCs w:val="24"/>
          <w:lang w:val="pt-BR"/>
        </w:rPr>
        <w:t>inclui todas as possibilidades dos índices anteriores. Representa a probabilidade de duas empresas se</w:t>
      </w:r>
      <w:r w:rsidR="00C44A1E">
        <w:rPr>
          <w:rFonts w:ascii="Times New Roman" w:hAnsi="Times New Roman"/>
          <w:sz w:val="24"/>
          <w:szCs w:val="24"/>
          <w:lang w:val="pt-BR"/>
        </w:rPr>
        <w:t>lecionadas aleatoriamente possuírem</w:t>
      </w:r>
      <w:r w:rsidR="003F73C4" w:rsidRPr="00A232C9">
        <w:rPr>
          <w:rFonts w:ascii="Times New Roman" w:hAnsi="Times New Roman"/>
          <w:sz w:val="24"/>
          <w:szCs w:val="24"/>
          <w:lang w:val="pt-BR"/>
        </w:rPr>
        <w:t xml:space="preserve"> contas comparáveis. Em 2006, </w:t>
      </w:r>
      <w:r w:rsidR="00DD32A4" w:rsidRPr="00A232C9">
        <w:rPr>
          <w:rFonts w:ascii="Times New Roman" w:hAnsi="Times New Roman"/>
          <w:sz w:val="24"/>
          <w:szCs w:val="24"/>
          <w:lang w:val="pt-BR"/>
        </w:rPr>
        <w:t>Taplin</w:t>
      </w:r>
      <w:r w:rsidR="003F73C4" w:rsidRPr="00A232C9">
        <w:rPr>
          <w:rFonts w:ascii="Times New Roman" w:hAnsi="Times New Roman"/>
          <w:sz w:val="24"/>
          <w:szCs w:val="24"/>
          <w:lang w:val="pt-BR"/>
        </w:rPr>
        <w:t xml:space="preserve"> desenvolveu o “</w:t>
      </w:r>
      <w:r w:rsidR="003F73C4" w:rsidRPr="00A232C9">
        <w:rPr>
          <w:rFonts w:ascii="Times New Roman" w:hAnsi="Times New Roman"/>
          <w:i/>
          <w:sz w:val="24"/>
          <w:szCs w:val="24"/>
          <w:lang w:val="pt-BR"/>
        </w:rPr>
        <w:t>Harmoni</w:t>
      </w:r>
      <w:r w:rsidR="00DD32A4" w:rsidRPr="00A232C9">
        <w:rPr>
          <w:rFonts w:ascii="Times New Roman" w:hAnsi="Times New Roman"/>
          <w:i/>
          <w:sz w:val="24"/>
          <w:szCs w:val="24"/>
          <w:lang w:val="pt-BR"/>
        </w:rPr>
        <w:t>ser Software</w:t>
      </w:r>
      <w:r w:rsidR="00DD32A4" w:rsidRPr="00A232C9">
        <w:rPr>
          <w:rFonts w:ascii="Times New Roman" w:hAnsi="Times New Roman"/>
          <w:sz w:val="24"/>
          <w:szCs w:val="24"/>
          <w:lang w:val="pt-BR"/>
        </w:rPr>
        <w:t>”, uma planilha do E</w:t>
      </w:r>
      <w:r w:rsidR="003F73C4" w:rsidRPr="00A232C9">
        <w:rPr>
          <w:rFonts w:ascii="Times New Roman" w:hAnsi="Times New Roman"/>
          <w:sz w:val="24"/>
          <w:szCs w:val="24"/>
          <w:lang w:val="pt-BR"/>
        </w:rPr>
        <w:t xml:space="preserve">xcel </w:t>
      </w:r>
      <w:r w:rsidR="00DD32A4" w:rsidRPr="00A232C9">
        <w:rPr>
          <w:rFonts w:ascii="Times New Roman" w:hAnsi="Times New Roman"/>
          <w:sz w:val="24"/>
          <w:szCs w:val="24"/>
          <w:lang w:val="pt-BR"/>
        </w:rPr>
        <w:t>com o objetivo de realizar cálculos do índice</w:t>
      </w:r>
      <w:r w:rsidR="000A6B9A" w:rsidRPr="00A232C9">
        <w:rPr>
          <w:rFonts w:ascii="Times New Roman" w:hAnsi="Times New Roman"/>
          <w:sz w:val="24"/>
          <w:szCs w:val="24"/>
          <w:lang w:val="pt-BR"/>
        </w:rPr>
        <w:t xml:space="preserve"> (</w:t>
      </w:r>
      <w:r w:rsidR="00962BA5" w:rsidRPr="00962BA5">
        <w:rPr>
          <w:rFonts w:ascii="Times New Roman" w:hAnsi="Times New Roman"/>
          <w:sz w:val="24"/>
          <w:szCs w:val="24"/>
          <w:lang w:val="pt-BR"/>
        </w:rPr>
        <w:t>COLE; BRANSON; BREESCH, 2008</w:t>
      </w:r>
      <w:r w:rsidR="000A6B9A" w:rsidRPr="00A232C9">
        <w:rPr>
          <w:rFonts w:ascii="Times New Roman" w:hAnsi="Times New Roman"/>
          <w:sz w:val="24"/>
          <w:szCs w:val="24"/>
          <w:lang w:val="pt-BR"/>
        </w:rPr>
        <w:t>).</w:t>
      </w:r>
      <w:r w:rsidR="003F73C4" w:rsidRPr="00A232C9">
        <w:rPr>
          <w:rFonts w:ascii="Times New Roman" w:hAnsi="Times New Roman"/>
          <w:sz w:val="24"/>
          <w:szCs w:val="24"/>
          <w:lang w:val="pt-BR"/>
        </w:rPr>
        <w:t xml:space="preserve"> </w:t>
      </w:r>
    </w:p>
    <w:p w14:paraId="453CDED6" w14:textId="028BDCEC" w:rsidR="008A5545" w:rsidRDefault="008A5545"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O </w:t>
      </w:r>
      <w:r w:rsidR="00962BA5">
        <w:rPr>
          <w:rFonts w:ascii="Times New Roman" w:hAnsi="Times New Roman"/>
          <w:sz w:val="24"/>
          <w:szCs w:val="24"/>
          <w:lang w:val="pt-BR"/>
        </w:rPr>
        <w:t>Quadro 1</w:t>
      </w:r>
      <w:r w:rsidRPr="00A232C9">
        <w:rPr>
          <w:rFonts w:ascii="Times New Roman" w:hAnsi="Times New Roman"/>
          <w:sz w:val="24"/>
          <w:szCs w:val="24"/>
          <w:lang w:val="pt-BR"/>
        </w:rPr>
        <w:t xml:space="preserve"> apresenta as principais características dos índices de</w:t>
      </w:r>
      <w:r w:rsidR="00DD32A4" w:rsidRPr="00A232C9">
        <w:rPr>
          <w:rFonts w:ascii="Times New Roman" w:hAnsi="Times New Roman"/>
          <w:sz w:val="24"/>
          <w:szCs w:val="24"/>
          <w:lang w:val="pt-BR"/>
        </w:rPr>
        <w:t xml:space="preserve"> comparabilidade H, C, I, V e T.</w:t>
      </w:r>
    </w:p>
    <w:p w14:paraId="2206F6B8" w14:textId="77777777" w:rsidR="00F345E8" w:rsidRPr="00A065E0" w:rsidRDefault="00F345E8" w:rsidP="008E7DAE">
      <w:pPr>
        <w:autoSpaceDE w:val="0"/>
        <w:autoSpaceDN w:val="0"/>
        <w:adjustRightInd w:val="0"/>
        <w:spacing w:after="0" w:line="240" w:lineRule="auto"/>
        <w:jc w:val="both"/>
        <w:rPr>
          <w:rFonts w:ascii="Times New Roman" w:hAnsi="Times New Roman"/>
          <w:sz w:val="20"/>
          <w:szCs w:val="20"/>
          <w:lang w:val="pt-BR"/>
        </w:rPr>
      </w:pPr>
    </w:p>
    <w:p w14:paraId="4B3D8179" w14:textId="467EFB31" w:rsidR="00F80079" w:rsidRPr="00962BA5" w:rsidRDefault="00962BA5" w:rsidP="00962BA5">
      <w:pPr>
        <w:pStyle w:val="Legenda"/>
        <w:spacing w:after="0"/>
        <w:jc w:val="center"/>
        <w:rPr>
          <w:rFonts w:ascii="Times New Roman" w:hAnsi="Times New Roman"/>
          <w:b w:val="0"/>
          <w:color w:val="auto"/>
          <w:sz w:val="20"/>
          <w:szCs w:val="20"/>
          <w:lang w:val="pt-BR"/>
        </w:rPr>
      </w:pPr>
      <w:r w:rsidRPr="000D55C2">
        <w:rPr>
          <w:rFonts w:ascii="Times New Roman" w:hAnsi="Times New Roman"/>
          <w:b w:val="0"/>
          <w:color w:val="auto"/>
          <w:sz w:val="20"/>
          <w:szCs w:val="20"/>
          <w:lang w:val="pt-BR"/>
        </w:rPr>
        <w:t xml:space="preserve">Quadro </w:t>
      </w:r>
      <w:r w:rsidRPr="00962BA5">
        <w:rPr>
          <w:rFonts w:ascii="Times New Roman" w:hAnsi="Times New Roman"/>
          <w:b w:val="0"/>
          <w:color w:val="auto"/>
          <w:sz w:val="20"/>
          <w:szCs w:val="20"/>
        </w:rPr>
        <w:fldChar w:fldCharType="begin"/>
      </w:r>
      <w:r w:rsidRPr="000D55C2">
        <w:rPr>
          <w:rFonts w:ascii="Times New Roman" w:hAnsi="Times New Roman"/>
          <w:b w:val="0"/>
          <w:color w:val="auto"/>
          <w:sz w:val="20"/>
          <w:szCs w:val="20"/>
          <w:lang w:val="pt-BR"/>
        </w:rPr>
        <w:instrText xml:space="preserve"> SEQ Quadro \* ARABIC </w:instrText>
      </w:r>
      <w:r w:rsidRPr="00962BA5">
        <w:rPr>
          <w:rFonts w:ascii="Times New Roman" w:hAnsi="Times New Roman"/>
          <w:b w:val="0"/>
          <w:color w:val="auto"/>
          <w:sz w:val="20"/>
          <w:szCs w:val="20"/>
        </w:rPr>
        <w:fldChar w:fldCharType="separate"/>
      </w:r>
      <w:r w:rsidRPr="000D55C2">
        <w:rPr>
          <w:rFonts w:ascii="Times New Roman" w:hAnsi="Times New Roman"/>
          <w:b w:val="0"/>
          <w:color w:val="auto"/>
          <w:sz w:val="20"/>
          <w:szCs w:val="20"/>
          <w:lang w:val="pt-BR"/>
        </w:rPr>
        <w:t>1</w:t>
      </w:r>
      <w:r w:rsidRPr="00962BA5">
        <w:rPr>
          <w:rFonts w:ascii="Times New Roman" w:hAnsi="Times New Roman"/>
          <w:b w:val="0"/>
          <w:color w:val="auto"/>
          <w:sz w:val="20"/>
          <w:szCs w:val="20"/>
        </w:rPr>
        <w:fldChar w:fldCharType="end"/>
      </w:r>
      <w:r w:rsidRPr="000D55C2">
        <w:rPr>
          <w:rFonts w:ascii="Times New Roman" w:hAnsi="Times New Roman"/>
          <w:b w:val="0"/>
          <w:color w:val="auto"/>
          <w:sz w:val="20"/>
          <w:szCs w:val="20"/>
          <w:lang w:val="pt-BR"/>
        </w:rPr>
        <w:t xml:space="preserve"> - Características dos Índices de Comparabilidade</w:t>
      </w:r>
    </w:p>
    <w:tbl>
      <w:tblPr>
        <w:tblW w:w="8590"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4"/>
        <w:gridCol w:w="585"/>
        <w:gridCol w:w="567"/>
        <w:gridCol w:w="567"/>
        <w:gridCol w:w="576"/>
        <w:gridCol w:w="541"/>
      </w:tblGrid>
      <w:tr w:rsidR="002E08E6" w:rsidRPr="00A232C9" w14:paraId="233FDF2A" w14:textId="77777777" w:rsidTr="00705819">
        <w:trPr>
          <w:trHeight w:hRule="exact" w:val="227"/>
          <w:jc w:val="center"/>
        </w:trPr>
        <w:tc>
          <w:tcPr>
            <w:tcW w:w="5754" w:type="dxa"/>
            <w:shd w:val="clear" w:color="auto" w:fill="DDD9C3"/>
            <w:noWrap/>
            <w:vAlign w:val="center"/>
            <w:hideMark/>
          </w:tcPr>
          <w:p w14:paraId="119CCE9C"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Características dos Índices</w:t>
            </w:r>
          </w:p>
        </w:tc>
        <w:tc>
          <w:tcPr>
            <w:tcW w:w="585" w:type="dxa"/>
            <w:shd w:val="clear" w:color="auto" w:fill="DDD9C3"/>
            <w:noWrap/>
            <w:vAlign w:val="center"/>
            <w:hideMark/>
          </w:tcPr>
          <w:p w14:paraId="47AEED5F"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H</w:t>
            </w:r>
          </w:p>
        </w:tc>
        <w:tc>
          <w:tcPr>
            <w:tcW w:w="567" w:type="dxa"/>
            <w:shd w:val="clear" w:color="auto" w:fill="DDD9C3"/>
            <w:noWrap/>
            <w:vAlign w:val="center"/>
            <w:hideMark/>
          </w:tcPr>
          <w:p w14:paraId="1CD51FEB"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C</w:t>
            </w:r>
          </w:p>
        </w:tc>
        <w:tc>
          <w:tcPr>
            <w:tcW w:w="567" w:type="dxa"/>
            <w:shd w:val="clear" w:color="auto" w:fill="DDD9C3"/>
            <w:noWrap/>
            <w:vAlign w:val="center"/>
            <w:hideMark/>
          </w:tcPr>
          <w:p w14:paraId="37363C02"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I</w:t>
            </w:r>
          </w:p>
        </w:tc>
        <w:tc>
          <w:tcPr>
            <w:tcW w:w="576" w:type="dxa"/>
            <w:shd w:val="clear" w:color="auto" w:fill="DDD9C3"/>
            <w:noWrap/>
            <w:vAlign w:val="center"/>
            <w:hideMark/>
          </w:tcPr>
          <w:p w14:paraId="36A8F710"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 xml:space="preserve">V </w:t>
            </w:r>
          </w:p>
        </w:tc>
        <w:tc>
          <w:tcPr>
            <w:tcW w:w="541" w:type="dxa"/>
            <w:shd w:val="clear" w:color="auto" w:fill="DDD9C3"/>
            <w:noWrap/>
            <w:vAlign w:val="center"/>
            <w:hideMark/>
          </w:tcPr>
          <w:p w14:paraId="0B1AEE97" w14:textId="77777777" w:rsidR="002E08E6" w:rsidRPr="00A232C9" w:rsidRDefault="002E08E6" w:rsidP="008E7DAE">
            <w:pPr>
              <w:spacing w:after="0" w:line="240" w:lineRule="auto"/>
              <w:jc w:val="center"/>
              <w:rPr>
                <w:rFonts w:ascii="Times New Roman" w:eastAsia="Times New Roman" w:hAnsi="Times New Roman"/>
                <w:b/>
                <w:noProof w:val="0"/>
                <w:color w:val="000000"/>
                <w:sz w:val="20"/>
                <w:szCs w:val="20"/>
                <w:lang w:val="pt-BR" w:eastAsia="pt-BR"/>
              </w:rPr>
            </w:pPr>
            <w:r w:rsidRPr="00A232C9">
              <w:rPr>
                <w:rFonts w:ascii="Times New Roman" w:eastAsia="Times New Roman" w:hAnsi="Times New Roman"/>
                <w:b/>
                <w:noProof w:val="0"/>
                <w:color w:val="000000"/>
                <w:sz w:val="20"/>
                <w:szCs w:val="20"/>
                <w:lang w:val="pt-BR" w:eastAsia="pt-BR"/>
              </w:rPr>
              <w:t>T</w:t>
            </w:r>
          </w:p>
        </w:tc>
      </w:tr>
      <w:tr w:rsidR="002E08E6" w:rsidRPr="00A232C9" w14:paraId="3EBA6A68" w14:textId="77777777" w:rsidTr="00705819">
        <w:trPr>
          <w:trHeight w:hRule="exact" w:val="227"/>
          <w:jc w:val="center"/>
        </w:trPr>
        <w:tc>
          <w:tcPr>
            <w:tcW w:w="5754" w:type="dxa"/>
            <w:shd w:val="clear" w:color="auto" w:fill="auto"/>
            <w:noWrap/>
            <w:vAlign w:val="center"/>
            <w:hideMark/>
          </w:tcPr>
          <w:p w14:paraId="64610C99"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Considera o número de empresas pesquisadas</w:t>
            </w:r>
          </w:p>
        </w:tc>
        <w:tc>
          <w:tcPr>
            <w:tcW w:w="585" w:type="dxa"/>
            <w:shd w:val="clear" w:color="auto" w:fill="EEECE1"/>
            <w:noWrap/>
            <w:vAlign w:val="bottom"/>
            <w:hideMark/>
          </w:tcPr>
          <w:p w14:paraId="7A2D283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67" w:type="dxa"/>
            <w:shd w:val="clear" w:color="auto" w:fill="auto"/>
            <w:noWrap/>
            <w:vAlign w:val="bottom"/>
            <w:hideMark/>
          </w:tcPr>
          <w:p w14:paraId="316CAFA1"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319A91D3"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11D9196E"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41" w:type="dxa"/>
            <w:shd w:val="clear" w:color="auto" w:fill="EEECE1"/>
            <w:noWrap/>
            <w:vAlign w:val="bottom"/>
            <w:hideMark/>
          </w:tcPr>
          <w:p w14:paraId="50B15944"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0F16DAA9" w14:textId="77777777" w:rsidTr="00705819">
        <w:trPr>
          <w:trHeight w:hRule="exact" w:val="227"/>
          <w:jc w:val="center"/>
        </w:trPr>
        <w:tc>
          <w:tcPr>
            <w:tcW w:w="5754" w:type="dxa"/>
            <w:shd w:val="clear" w:color="auto" w:fill="auto"/>
            <w:noWrap/>
            <w:vAlign w:val="center"/>
            <w:hideMark/>
          </w:tcPr>
          <w:p w14:paraId="1090F66B"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Considera o tamanho dos países examinados</w:t>
            </w:r>
          </w:p>
        </w:tc>
        <w:tc>
          <w:tcPr>
            <w:tcW w:w="585" w:type="dxa"/>
            <w:shd w:val="clear" w:color="auto" w:fill="auto"/>
            <w:noWrap/>
            <w:vAlign w:val="bottom"/>
            <w:hideMark/>
          </w:tcPr>
          <w:p w14:paraId="244A2A29"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4C401EB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52E738AF"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0B76622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579F233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093BD40F" w14:textId="77777777" w:rsidTr="00705819">
        <w:trPr>
          <w:trHeight w:hRule="exact" w:val="227"/>
          <w:jc w:val="center"/>
        </w:trPr>
        <w:tc>
          <w:tcPr>
            <w:tcW w:w="5754" w:type="dxa"/>
            <w:shd w:val="clear" w:color="auto" w:fill="auto"/>
            <w:noWrap/>
            <w:vAlign w:val="center"/>
            <w:hideMark/>
          </w:tcPr>
          <w:p w14:paraId="7ACF4B86"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Considera a não divulgação (</w:t>
            </w:r>
            <w:r w:rsidRPr="00A232C9">
              <w:rPr>
                <w:rFonts w:ascii="Times New Roman" w:eastAsia="Times New Roman" w:hAnsi="Times New Roman"/>
                <w:i/>
                <w:iCs/>
                <w:noProof w:val="0"/>
                <w:color w:val="000000"/>
                <w:sz w:val="20"/>
                <w:szCs w:val="20"/>
                <w:lang w:val="pt-BR" w:eastAsia="pt-BR"/>
              </w:rPr>
              <w:t>non-</w:t>
            </w:r>
            <w:proofErr w:type="spellStart"/>
            <w:r w:rsidRPr="00A232C9">
              <w:rPr>
                <w:rFonts w:ascii="Times New Roman" w:eastAsia="Times New Roman" w:hAnsi="Times New Roman"/>
                <w:i/>
                <w:iCs/>
                <w:noProof w:val="0"/>
                <w:color w:val="000000"/>
                <w:sz w:val="20"/>
                <w:szCs w:val="20"/>
                <w:lang w:val="pt-BR" w:eastAsia="pt-BR"/>
              </w:rPr>
              <w:t>disclosure</w:t>
            </w:r>
            <w:proofErr w:type="spellEnd"/>
            <w:r w:rsidRPr="00A232C9">
              <w:rPr>
                <w:rFonts w:ascii="Times New Roman" w:eastAsia="Times New Roman" w:hAnsi="Times New Roman"/>
                <w:noProof w:val="0"/>
                <w:color w:val="000000"/>
                <w:sz w:val="20"/>
                <w:szCs w:val="20"/>
                <w:lang w:val="pt-BR" w:eastAsia="pt-BR"/>
              </w:rPr>
              <w:t>)</w:t>
            </w:r>
          </w:p>
        </w:tc>
        <w:tc>
          <w:tcPr>
            <w:tcW w:w="585" w:type="dxa"/>
            <w:shd w:val="clear" w:color="auto" w:fill="EEECE1"/>
            <w:noWrap/>
            <w:vAlign w:val="bottom"/>
            <w:hideMark/>
          </w:tcPr>
          <w:p w14:paraId="7D91547A"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67" w:type="dxa"/>
            <w:shd w:val="clear" w:color="auto" w:fill="EEECE1"/>
            <w:noWrap/>
            <w:vAlign w:val="bottom"/>
            <w:hideMark/>
          </w:tcPr>
          <w:p w14:paraId="4B62D5D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67" w:type="dxa"/>
            <w:shd w:val="clear" w:color="auto" w:fill="EEECE1"/>
            <w:noWrap/>
            <w:vAlign w:val="bottom"/>
            <w:hideMark/>
          </w:tcPr>
          <w:p w14:paraId="29B17264"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76" w:type="dxa"/>
            <w:shd w:val="clear" w:color="auto" w:fill="auto"/>
            <w:noWrap/>
            <w:vAlign w:val="bottom"/>
            <w:hideMark/>
          </w:tcPr>
          <w:p w14:paraId="177E3A6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60932D4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48D9B111" w14:textId="77777777" w:rsidTr="00705819">
        <w:trPr>
          <w:trHeight w:hRule="exact" w:val="227"/>
          <w:jc w:val="center"/>
        </w:trPr>
        <w:tc>
          <w:tcPr>
            <w:tcW w:w="5754" w:type="dxa"/>
            <w:shd w:val="clear" w:color="auto" w:fill="auto"/>
            <w:noWrap/>
            <w:vAlign w:val="center"/>
            <w:hideMark/>
          </w:tcPr>
          <w:p w14:paraId="5742F4D3"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Considera múltiplas escolhas contábeis</w:t>
            </w:r>
          </w:p>
        </w:tc>
        <w:tc>
          <w:tcPr>
            <w:tcW w:w="585" w:type="dxa"/>
            <w:shd w:val="clear" w:color="auto" w:fill="auto"/>
            <w:noWrap/>
            <w:vAlign w:val="bottom"/>
            <w:hideMark/>
          </w:tcPr>
          <w:p w14:paraId="3EB73764"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EEECE1"/>
            <w:noWrap/>
            <w:vAlign w:val="bottom"/>
            <w:hideMark/>
          </w:tcPr>
          <w:p w14:paraId="15D4D105"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67" w:type="dxa"/>
            <w:shd w:val="clear" w:color="auto" w:fill="auto"/>
            <w:noWrap/>
            <w:vAlign w:val="bottom"/>
            <w:hideMark/>
          </w:tcPr>
          <w:p w14:paraId="2063708E"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21E1B2DB"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6A974908"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7DDB6CED" w14:textId="77777777" w:rsidTr="00705819">
        <w:trPr>
          <w:trHeight w:hRule="exact" w:val="227"/>
          <w:jc w:val="center"/>
        </w:trPr>
        <w:tc>
          <w:tcPr>
            <w:tcW w:w="5754" w:type="dxa"/>
            <w:shd w:val="clear" w:color="auto" w:fill="auto"/>
            <w:noWrap/>
            <w:vAlign w:val="center"/>
            <w:hideMark/>
          </w:tcPr>
          <w:p w14:paraId="626AA800"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Considera a comparabilidade parcial</w:t>
            </w:r>
          </w:p>
        </w:tc>
        <w:tc>
          <w:tcPr>
            <w:tcW w:w="585" w:type="dxa"/>
            <w:shd w:val="clear" w:color="auto" w:fill="auto"/>
            <w:noWrap/>
            <w:vAlign w:val="bottom"/>
            <w:hideMark/>
          </w:tcPr>
          <w:p w14:paraId="30BBE523"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3352411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7597CCDE"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5B9B65B8"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739A3475"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5ABABD3D" w14:textId="77777777" w:rsidTr="00705819">
        <w:trPr>
          <w:trHeight w:hRule="exact" w:val="227"/>
          <w:jc w:val="center"/>
        </w:trPr>
        <w:tc>
          <w:tcPr>
            <w:tcW w:w="5754" w:type="dxa"/>
            <w:shd w:val="clear" w:color="auto" w:fill="auto"/>
            <w:noWrap/>
            <w:vAlign w:val="center"/>
            <w:hideMark/>
          </w:tcPr>
          <w:p w14:paraId="65EECD30"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Sensibilidade à frequência zero</w:t>
            </w:r>
          </w:p>
        </w:tc>
        <w:tc>
          <w:tcPr>
            <w:tcW w:w="585" w:type="dxa"/>
            <w:shd w:val="clear" w:color="auto" w:fill="auto"/>
            <w:noWrap/>
            <w:vAlign w:val="bottom"/>
            <w:hideMark/>
          </w:tcPr>
          <w:p w14:paraId="1542857A"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34076766"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EEECE1"/>
            <w:noWrap/>
            <w:vAlign w:val="bottom"/>
            <w:hideMark/>
          </w:tcPr>
          <w:p w14:paraId="1B1671E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c>
          <w:tcPr>
            <w:tcW w:w="576" w:type="dxa"/>
            <w:shd w:val="clear" w:color="auto" w:fill="auto"/>
            <w:noWrap/>
            <w:vAlign w:val="bottom"/>
            <w:hideMark/>
          </w:tcPr>
          <w:p w14:paraId="471B4C3B"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auto"/>
            <w:noWrap/>
            <w:vAlign w:val="bottom"/>
            <w:hideMark/>
          </w:tcPr>
          <w:p w14:paraId="7D48539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r>
      <w:tr w:rsidR="002E08E6" w:rsidRPr="00A232C9" w14:paraId="05B154C7" w14:textId="77777777" w:rsidTr="00705819">
        <w:trPr>
          <w:trHeight w:hRule="exact" w:val="227"/>
          <w:jc w:val="center"/>
        </w:trPr>
        <w:tc>
          <w:tcPr>
            <w:tcW w:w="5754" w:type="dxa"/>
            <w:shd w:val="clear" w:color="auto" w:fill="auto"/>
            <w:noWrap/>
            <w:vAlign w:val="center"/>
            <w:hideMark/>
          </w:tcPr>
          <w:p w14:paraId="48FAA5CD"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 xml:space="preserve">Comparabilidade nacional (N), </w:t>
            </w:r>
            <w:proofErr w:type="gramStart"/>
            <w:r w:rsidRPr="00A232C9">
              <w:rPr>
                <w:rFonts w:ascii="Times New Roman" w:eastAsia="Times New Roman" w:hAnsi="Times New Roman"/>
                <w:noProof w:val="0"/>
                <w:color w:val="000000"/>
                <w:sz w:val="20"/>
                <w:szCs w:val="20"/>
                <w:lang w:val="pt-BR" w:eastAsia="pt-BR"/>
              </w:rPr>
              <w:t>internacional (I) ou ambas</w:t>
            </w:r>
            <w:proofErr w:type="gramEnd"/>
            <w:r w:rsidRPr="00A232C9">
              <w:rPr>
                <w:rFonts w:ascii="Times New Roman" w:eastAsia="Times New Roman" w:hAnsi="Times New Roman"/>
                <w:noProof w:val="0"/>
                <w:color w:val="000000"/>
                <w:sz w:val="20"/>
                <w:szCs w:val="20"/>
                <w:lang w:val="pt-BR" w:eastAsia="pt-BR"/>
              </w:rPr>
              <w:t xml:space="preserve"> (A)</w:t>
            </w:r>
          </w:p>
        </w:tc>
        <w:tc>
          <w:tcPr>
            <w:tcW w:w="585" w:type="dxa"/>
            <w:shd w:val="clear" w:color="auto" w:fill="auto"/>
            <w:noWrap/>
            <w:vAlign w:val="bottom"/>
            <w:hideMark/>
          </w:tcPr>
          <w:p w14:paraId="52B77EBE"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w:t>
            </w:r>
          </w:p>
        </w:tc>
        <w:tc>
          <w:tcPr>
            <w:tcW w:w="567" w:type="dxa"/>
            <w:shd w:val="clear" w:color="auto" w:fill="auto"/>
            <w:noWrap/>
            <w:vAlign w:val="bottom"/>
            <w:hideMark/>
          </w:tcPr>
          <w:p w14:paraId="64860D9F"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w:t>
            </w:r>
          </w:p>
        </w:tc>
        <w:tc>
          <w:tcPr>
            <w:tcW w:w="567" w:type="dxa"/>
            <w:shd w:val="clear" w:color="auto" w:fill="auto"/>
            <w:noWrap/>
            <w:vAlign w:val="bottom"/>
            <w:hideMark/>
          </w:tcPr>
          <w:p w14:paraId="05C57B5C"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I</w:t>
            </w:r>
          </w:p>
        </w:tc>
        <w:tc>
          <w:tcPr>
            <w:tcW w:w="576" w:type="dxa"/>
            <w:shd w:val="clear" w:color="auto" w:fill="auto"/>
            <w:noWrap/>
            <w:vAlign w:val="bottom"/>
            <w:hideMark/>
          </w:tcPr>
          <w:p w14:paraId="041A2FCC"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I</w:t>
            </w:r>
          </w:p>
        </w:tc>
        <w:tc>
          <w:tcPr>
            <w:tcW w:w="541" w:type="dxa"/>
            <w:shd w:val="clear" w:color="auto" w:fill="auto"/>
            <w:noWrap/>
            <w:vAlign w:val="bottom"/>
            <w:hideMark/>
          </w:tcPr>
          <w:p w14:paraId="7BA8618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A</w:t>
            </w:r>
          </w:p>
        </w:tc>
      </w:tr>
      <w:tr w:rsidR="002E08E6" w:rsidRPr="00A232C9" w14:paraId="02157CBB" w14:textId="77777777" w:rsidTr="00705819">
        <w:trPr>
          <w:trHeight w:hRule="exact" w:val="227"/>
          <w:jc w:val="center"/>
        </w:trPr>
        <w:tc>
          <w:tcPr>
            <w:tcW w:w="5754" w:type="dxa"/>
            <w:shd w:val="clear" w:color="auto" w:fill="auto"/>
            <w:noWrap/>
            <w:vAlign w:val="center"/>
            <w:hideMark/>
          </w:tcPr>
          <w:p w14:paraId="7F0E11B5"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Capacidade de determinar um intervalo de probabilidade</w:t>
            </w:r>
          </w:p>
        </w:tc>
        <w:tc>
          <w:tcPr>
            <w:tcW w:w="585" w:type="dxa"/>
            <w:shd w:val="clear" w:color="auto" w:fill="auto"/>
            <w:noWrap/>
            <w:vAlign w:val="bottom"/>
            <w:hideMark/>
          </w:tcPr>
          <w:p w14:paraId="59CA4E87"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413381F6"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700D89F0"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5271B8A5"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6FC5608A"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r w:rsidR="002E08E6" w:rsidRPr="00A232C9" w14:paraId="2925ADA2" w14:textId="77777777" w:rsidTr="00705819">
        <w:trPr>
          <w:trHeight w:hRule="exact" w:val="227"/>
          <w:jc w:val="center"/>
        </w:trPr>
        <w:tc>
          <w:tcPr>
            <w:tcW w:w="5754" w:type="dxa"/>
            <w:shd w:val="clear" w:color="auto" w:fill="auto"/>
            <w:noWrap/>
            <w:vAlign w:val="center"/>
            <w:hideMark/>
          </w:tcPr>
          <w:p w14:paraId="0D5EC94F" w14:textId="77777777" w:rsidR="002E08E6" w:rsidRPr="00A232C9" w:rsidRDefault="002E08E6" w:rsidP="008E7DAE">
            <w:pPr>
              <w:spacing w:after="0" w:line="240" w:lineRule="auto"/>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Permite a análise setorial com ponderações</w:t>
            </w:r>
          </w:p>
        </w:tc>
        <w:tc>
          <w:tcPr>
            <w:tcW w:w="585" w:type="dxa"/>
            <w:shd w:val="clear" w:color="auto" w:fill="auto"/>
            <w:noWrap/>
            <w:vAlign w:val="bottom"/>
            <w:hideMark/>
          </w:tcPr>
          <w:p w14:paraId="085D9819"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09A0AAA3"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67" w:type="dxa"/>
            <w:shd w:val="clear" w:color="auto" w:fill="auto"/>
            <w:noWrap/>
            <w:vAlign w:val="bottom"/>
            <w:hideMark/>
          </w:tcPr>
          <w:p w14:paraId="73BEE17D"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76" w:type="dxa"/>
            <w:shd w:val="clear" w:color="auto" w:fill="auto"/>
            <w:noWrap/>
            <w:vAlign w:val="bottom"/>
            <w:hideMark/>
          </w:tcPr>
          <w:p w14:paraId="7CDD740A" w14:textId="77777777" w:rsidR="002E08E6" w:rsidRPr="00A232C9" w:rsidRDefault="002E08E6" w:rsidP="008E7DAE">
            <w:pPr>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Não</w:t>
            </w:r>
          </w:p>
        </w:tc>
        <w:tc>
          <w:tcPr>
            <w:tcW w:w="541" w:type="dxa"/>
            <w:shd w:val="clear" w:color="auto" w:fill="EEECE1"/>
            <w:noWrap/>
            <w:vAlign w:val="bottom"/>
            <w:hideMark/>
          </w:tcPr>
          <w:p w14:paraId="56B998BF" w14:textId="77777777" w:rsidR="002E08E6" w:rsidRPr="00A232C9" w:rsidRDefault="002E08E6" w:rsidP="00962BA5">
            <w:pPr>
              <w:keepNext/>
              <w:spacing w:after="0" w:line="240" w:lineRule="auto"/>
              <w:jc w:val="center"/>
              <w:rPr>
                <w:rFonts w:ascii="Times New Roman" w:eastAsia="Times New Roman" w:hAnsi="Times New Roman"/>
                <w:noProof w:val="0"/>
                <w:color w:val="000000"/>
                <w:sz w:val="20"/>
                <w:szCs w:val="20"/>
                <w:lang w:val="pt-BR" w:eastAsia="pt-BR"/>
              </w:rPr>
            </w:pPr>
            <w:r w:rsidRPr="00A232C9">
              <w:rPr>
                <w:rFonts w:ascii="Times New Roman" w:eastAsia="Times New Roman" w:hAnsi="Times New Roman"/>
                <w:noProof w:val="0"/>
                <w:color w:val="000000"/>
                <w:sz w:val="20"/>
                <w:szCs w:val="20"/>
                <w:lang w:val="pt-BR" w:eastAsia="pt-BR"/>
              </w:rPr>
              <w:t>Sim</w:t>
            </w:r>
          </w:p>
        </w:tc>
      </w:tr>
    </w:tbl>
    <w:p w14:paraId="281BC001" w14:textId="618F65AA" w:rsidR="004F54B0" w:rsidRDefault="00F80079" w:rsidP="008E7DAE">
      <w:pPr>
        <w:spacing w:after="0" w:line="240" w:lineRule="auto"/>
        <w:rPr>
          <w:rFonts w:ascii="Times New Roman" w:hAnsi="Times New Roman"/>
          <w:sz w:val="20"/>
          <w:szCs w:val="20"/>
          <w:lang w:val="pt-BR"/>
        </w:rPr>
      </w:pPr>
      <w:r w:rsidRPr="00A232C9">
        <w:rPr>
          <w:rFonts w:ascii="Times New Roman" w:hAnsi="Times New Roman"/>
          <w:sz w:val="20"/>
          <w:szCs w:val="20"/>
          <w:lang w:val="pt-BR"/>
        </w:rPr>
        <w:t>Fonte: Adaptado</w:t>
      </w:r>
      <w:r w:rsidR="009205AA" w:rsidRPr="00A232C9">
        <w:rPr>
          <w:rFonts w:ascii="Times New Roman" w:hAnsi="Times New Roman"/>
          <w:sz w:val="20"/>
          <w:szCs w:val="20"/>
          <w:lang w:val="pt-BR"/>
        </w:rPr>
        <w:t xml:space="preserve"> de Cole, Branson e Breesch (2008, 2009</w:t>
      </w:r>
      <w:r w:rsidRPr="00A232C9">
        <w:rPr>
          <w:rFonts w:ascii="Times New Roman" w:hAnsi="Times New Roman"/>
          <w:sz w:val="20"/>
          <w:szCs w:val="20"/>
          <w:lang w:val="pt-BR"/>
        </w:rPr>
        <w:t>) e de Souza e Lemes (2016).</w:t>
      </w:r>
    </w:p>
    <w:p w14:paraId="553C17C7" w14:textId="77777777" w:rsidR="00F345E8" w:rsidRPr="00A065E0" w:rsidRDefault="00F345E8" w:rsidP="008E7DAE">
      <w:pPr>
        <w:spacing w:after="0" w:line="240" w:lineRule="auto"/>
        <w:rPr>
          <w:rFonts w:ascii="Times New Roman" w:hAnsi="Times New Roman"/>
          <w:sz w:val="20"/>
          <w:szCs w:val="20"/>
          <w:lang w:val="pt-BR"/>
        </w:rPr>
      </w:pPr>
    </w:p>
    <w:p w14:paraId="2756AAAA" w14:textId="6B0C0C5E" w:rsidR="00B74F01" w:rsidRDefault="00DB0D8D"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Assim</w:t>
      </w:r>
      <w:r w:rsidR="000F2EBF" w:rsidRPr="00A232C9">
        <w:rPr>
          <w:rFonts w:ascii="Times New Roman" w:hAnsi="Times New Roman"/>
          <w:sz w:val="24"/>
          <w:szCs w:val="24"/>
          <w:lang w:val="pt-BR"/>
        </w:rPr>
        <w:t>, percebe-se que o</w:t>
      </w:r>
      <w:r w:rsidR="00B74F01" w:rsidRPr="00A232C9">
        <w:rPr>
          <w:rFonts w:ascii="Times New Roman" w:hAnsi="Times New Roman"/>
          <w:sz w:val="24"/>
          <w:szCs w:val="24"/>
          <w:lang w:val="pt-BR"/>
        </w:rPr>
        <w:t xml:space="preserve"> nível de comparabilidade das informações contábeis pode ser avaliado por meio de diferentes índices, porém destacam-se aqueles propostos por Van Der Tas (1988) e Taplin (2004). Araújo</w:t>
      </w:r>
      <w:r w:rsidR="00962BA5">
        <w:rPr>
          <w:rFonts w:ascii="Times New Roman" w:hAnsi="Times New Roman"/>
          <w:sz w:val="24"/>
          <w:szCs w:val="24"/>
          <w:lang w:val="pt-BR"/>
        </w:rPr>
        <w:t xml:space="preserve">, Souza e Lemes </w:t>
      </w:r>
      <w:r w:rsidR="00B74F01" w:rsidRPr="00A232C9">
        <w:rPr>
          <w:rFonts w:ascii="Times New Roman" w:hAnsi="Times New Roman"/>
          <w:sz w:val="24"/>
          <w:szCs w:val="24"/>
          <w:lang w:val="pt-BR"/>
        </w:rPr>
        <w:t>(2015)</w:t>
      </w:r>
      <w:r w:rsidR="00962BA5">
        <w:rPr>
          <w:rFonts w:ascii="Times New Roman" w:hAnsi="Times New Roman"/>
          <w:sz w:val="24"/>
          <w:szCs w:val="24"/>
          <w:lang w:val="pt-BR"/>
        </w:rPr>
        <w:t>;</w:t>
      </w:r>
      <w:r w:rsidR="00B74F01" w:rsidRPr="00A232C9">
        <w:rPr>
          <w:rFonts w:ascii="Times New Roman" w:hAnsi="Times New Roman"/>
          <w:sz w:val="24"/>
          <w:szCs w:val="24"/>
          <w:lang w:val="pt-BR"/>
        </w:rPr>
        <w:t xml:space="preserve"> Souza, Silva e Rech (2015) e Botinha, Santos e Lemes (2013) aplicaram o índice H (</w:t>
      </w:r>
      <w:r w:rsidR="00B74F01" w:rsidRPr="00A232C9">
        <w:rPr>
          <w:rFonts w:ascii="Times New Roman" w:hAnsi="Times New Roman"/>
          <w:i/>
          <w:sz w:val="24"/>
          <w:szCs w:val="24"/>
          <w:lang w:val="pt-BR"/>
        </w:rPr>
        <w:t>Herfindhal</w:t>
      </w:r>
      <w:r w:rsidR="00B74F01" w:rsidRPr="00A232C9">
        <w:rPr>
          <w:rFonts w:ascii="Times New Roman" w:hAnsi="Times New Roman"/>
          <w:sz w:val="24"/>
          <w:szCs w:val="24"/>
          <w:lang w:val="pt-BR"/>
        </w:rPr>
        <w:t xml:space="preserve">). </w:t>
      </w:r>
      <w:r w:rsidR="00705819" w:rsidRPr="00A232C9">
        <w:rPr>
          <w:rFonts w:ascii="Times New Roman" w:hAnsi="Times New Roman"/>
          <w:sz w:val="24"/>
          <w:szCs w:val="24"/>
          <w:lang w:val="pt-BR"/>
        </w:rPr>
        <w:t>Enquanto,</w:t>
      </w:r>
      <w:r w:rsidR="00962BA5">
        <w:rPr>
          <w:rFonts w:ascii="Times New Roman" w:hAnsi="Times New Roman"/>
          <w:sz w:val="24"/>
          <w:szCs w:val="24"/>
          <w:lang w:val="pt-BR"/>
        </w:rPr>
        <w:t xml:space="preserve"> Coelho, Campagnoni e Rover</w:t>
      </w:r>
      <w:r w:rsidR="00B74F01" w:rsidRPr="00A232C9">
        <w:rPr>
          <w:rFonts w:ascii="Times New Roman" w:hAnsi="Times New Roman"/>
          <w:sz w:val="24"/>
          <w:szCs w:val="24"/>
          <w:lang w:val="pt-BR"/>
        </w:rPr>
        <w:t xml:space="preserve"> (2016) e Souza</w:t>
      </w:r>
      <w:r w:rsidR="00962BA5">
        <w:rPr>
          <w:rFonts w:ascii="Times New Roman" w:hAnsi="Times New Roman"/>
          <w:sz w:val="24"/>
          <w:szCs w:val="24"/>
          <w:lang w:val="pt-BR"/>
        </w:rPr>
        <w:t xml:space="preserve"> </w:t>
      </w:r>
      <w:r w:rsidR="00962BA5" w:rsidRPr="00962BA5">
        <w:rPr>
          <w:rFonts w:ascii="Times New Roman" w:hAnsi="Times New Roman"/>
          <w:i/>
          <w:sz w:val="24"/>
          <w:szCs w:val="24"/>
          <w:lang w:val="pt-BR"/>
        </w:rPr>
        <w:t>et al</w:t>
      </w:r>
      <w:r w:rsidR="003E2AD7">
        <w:rPr>
          <w:rFonts w:ascii="Times New Roman" w:hAnsi="Times New Roman"/>
          <w:i/>
          <w:sz w:val="24"/>
          <w:szCs w:val="24"/>
          <w:lang w:val="pt-BR"/>
        </w:rPr>
        <w:t xml:space="preserve">. </w:t>
      </w:r>
      <w:r w:rsidR="003E2AD7" w:rsidRPr="003E2AD7">
        <w:rPr>
          <w:rFonts w:ascii="Times New Roman" w:hAnsi="Times New Roman"/>
          <w:sz w:val="24"/>
          <w:szCs w:val="24"/>
          <w:lang w:val="pt-BR"/>
        </w:rPr>
        <w:t>(2015)</w:t>
      </w:r>
      <w:r w:rsidR="00DB0D07" w:rsidRPr="003E2AD7">
        <w:rPr>
          <w:rFonts w:ascii="Times New Roman" w:hAnsi="Times New Roman"/>
          <w:sz w:val="24"/>
          <w:szCs w:val="24"/>
          <w:lang w:val="pt-BR"/>
        </w:rPr>
        <w:t>,</w:t>
      </w:r>
      <w:r w:rsidR="00B74F01" w:rsidRPr="00A232C9">
        <w:rPr>
          <w:rFonts w:ascii="Times New Roman" w:hAnsi="Times New Roman"/>
          <w:sz w:val="24"/>
          <w:szCs w:val="24"/>
          <w:lang w:val="pt-BR"/>
        </w:rPr>
        <w:t xml:space="preserve"> utilizaram o índice T.</w:t>
      </w:r>
    </w:p>
    <w:p w14:paraId="08767CE5" w14:textId="77777777" w:rsidR="008E7DAE" w:rsidRPr="00A232C9" w:rsidRDefault="008E7DAE" w:rsidP="008E7DAE">
      <w:pPr>
        <w:autoSpaceDE w:val="0"/>
        <w:autoSpaceDN w:val="0"/>
        <w:adjustRightInd w:val="0"/>
        <w:spacing w:after="0" w:line="240" w:lineRule="auto"/>
        <w:ind w:firstLine="567"/>
        <w:jc w:val="both"/>
        <w:rPr>
          <w:rFonts w:ascii="Times New Roman" w:hAnsi="Times New Roman"/>
          <w:sz w:val="24"/>
          <w:szCs w:val="24"/>
          <w:lang w:val="pt-BR"/>
        </w:rPr>
      </w:pPr>
    </w:p>
    <w:p w14:paraId="42DDF800" w14:textId="0D1FE60E" w:rsidR="00417F83" w:rsidRPr="00AF3BC7" w:rsidRDefault="00AF3BC7" w:rsidP="008E7DAE">
      <w:pPr>
        <w:pStyle w:val="PargrafodaLista"/>
        <w:numPr>
          <w:ilvl w:val="1"/>
          <w:numId w:val="4"/>
        </w:numPr>
        <w:spacing w:after="0"/>
        <w:ind w:left="357" w:hanging="357"/>
        <w:rPr>
          <w:rFonts w:ascii="Times New Roman" w:hAnsi="Times New Roman"/>
          <w:sz w:val="24"/>
          <w:szCs w:val="24"/>
        </w:rPr>
      </w:pPr>
      <w:r>
        <w:rPr>
          <w:rFonts w:ascii="Times New Roman" w:hAnsi="Times New Roman"/>
          <w:sz w:val="24"/>
          <w:szCs w:val="24"/>
        </w:rPr>
        <w:t>PROPRIEDADES PARA INVESTIMENTO</w:t>
      </w:r>
    </w:p>
    <w:p w14:paraId="587FF356" w14:textId="77777777" w:rsidR="00C05D60" w:rsidRPr="00A232C9" w:rsidRDefault="00D8727B"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13380D" w:rsidRPr="00A232C9">
        <w:rPr>
          <w:rFonts w:ascii="Times New Roman" w:hAnsi="Times New Roman"/>
          <w:sz w:val="24"/>
          <w:szCs w:val="24"/>
          <w:lang w:val="pt-BR"/>
        </w:rPr>
        <w:t>A Propriedade para Investimento</w:t>
      </w:r>
      <w:r w:rsidR="00AE1BF0" w:rsidRPr="00A232C9">
        <w:rPr>
          <w:rFonts w:ascii="Times New Roman" w:hAnsi="Times New Roman"/>
          <w:sz w:val="24"/>
          <w:szCs w:val="24"/>
          <w:lang w:val="pt-BR"/>
        </w:rPr>
        <w:t xml:space="preserve"> (PPI)</w:t>
      </w:r>
      <w:r w:rsidR="0013380D" w:rsidRPr="00A232C9">
        <w:rPr>
          <w:rFonts w:ascii="Times New Roman" w:hAnsi="Times New Roman"/>
          <w:sz w:val="24"/>
          <w:szCs w:val="24"/>
          <w:lang w:val="pt-BR"/>
        </w:rPr>
        <w:t xml:space="preserve">, item regulamentado pelo Pronunciamento Técnico CPC 28 (2009) referente à norma </w:t>
      </w:r>
      <w:r w:rsidR="0013380D" w:rsidRPr="00A232C9">
        <w:rPr>
          <w:rFonts w:ascii="Times New Roman" w:hAnsi="Times New Roman"/>
          <w:i/>
          <w:sz w:val="24"/>
          <w:szCs w:val="24"/>
          <w:lang w:val="pt-BR"/>
        </w:rPr>
        <w:t>Interna</w:t>
      </w:r>
      <w:r w:rsidR="005C6591" w:rsidRPr="00A232C9">
        <w:rPr>
          <w:rFonts w:ascii="Times New Roman" w:hAnsi="Times New Roman"/>
          <w:i/>
          <w:sz w:val="24"/>
          <w:szCs w:val="24"/>
          <w:lang w:val="pt-BR"/>
        </w:rPr>
        <w:t>tional Accounting Standard</w:t>
      </w:r>
      <w:r w:rsidR="005C6591" w:rsidRPr="00A232C9">
        <w:rPr>
          <w:rFonts w:ascii="Times New Roman" w:hAnsi="Times New Roman"/>
          <w:sz w:val="24"/>
          <w:szCs w:val="24"/>
          <w:lang w:val="pt-BR"/>
        </w:rPr>
        <w:t xml:space="preserve"> (IAS</w:t>
      </w:r>
      <w:r w:rsidR="0013380D" w:rsidRPr="00A232C9">
        <w:rPr>
          <w:rFonts w:ascii="Times New Roman" w:hAnsi="Times New Roman"/>
          <w:sz w:val="24"/>
          <w:szCs w:val="24"/>
          <w:lang w:val="pt-BR"/>
        </w:rPr>
        <w:t xml:space="preserve"> 40</w:t>
      </w:r>
      <w:r w:rsidR="005C6591" w:rsidRPr="00A232C9">
        <w:rPr>
          <w:rFonts w:ascii="Times New Roman" w:hAnsi="Times New Roman"/>
          <w:sz w:val="24"/>
          <w:szCs w:val="24"/>
          <w:lang w:val="pt-BR"/>
        </w:rPr>
        <w:t xml:space="preserve">, </w:t>
      </w:r>
      <w:r w:rsidR="005C6591" w:rsidRPr="00A232C9">
        <w:rPr>
          <w:rFonts w:ascii="Times New Roman" w:hAnsi="Times New Roman"/>
          <w:i/>
          <w:sz w:val="24"/>
          <w:szCs w:val="24"/>
          <w:lang w:val="pt-BR"/>
        </w:rPr>
        <w:t>Investiments Property</w:t>
      </w:r>
      <w:r w:rsidR="005C6591" w:rsidRPr="00A232C9">
        <w:rPr>
          <w:rFonts w:ascii="Times New Roman" w:hAnsi="Times New Roman"/>
          <w:sz w:val="24"/>
          <w:szCs w:val="24"/>
          <w:lang w:val="pt-BR"/>
        </w:rPr>
        <w:t>)</w:t>
      </w:r>
      <w:r w:rsidR="00C05D60" w:rsidRPr="00A232C9">
        <w:rPr>
          <w:rFonts w:ascii="Times New Roman" w:hAnsi="Times New Roman"/>
          <w:sz w:val="24"/>
          <w:szCs w:val="24"/>
          <w:lang w:val="pt-BR"/>
        </w:rPr>
        <w:t>,</w:t>
      </w:r>
      <w:r w:rsidR="00DB0492" w:rsidRPr="00A232C9">
        <w:rPr>
          <w:rFonts w:ascii="Times New Roman" w:hAnsi="Times New Roman"/>
          <w:sz w:val="24"/>
          <w:szCs w:val="24"/>
          <w:lang w:val="pt-BR"/>
        </w:rPr>
        <w:t xml:space="preserve"> pode ser compreendida como a propriedade mantida para obter rendas e/ou valorizar o capital. Esta diferencia-se da propriedade ocupada pelo proprietário por não ser utilizada para uso na produção, fornecimento de bens e serviços ou finalidades administrativas e também por gerar fluxos de caixa independentes dos outros ativos pertencentes à entidade (CPC 28, 2009).</w:t>
      </w:r>
      <w:r w:rsidR="005C6591" w:rsidRPr="00A232C9">
        <w:rPr>
          <w:rFonts w:ascii="Times New Roman" w:hAnsi="Times New Roman"/>
          <w:sz w:val="24"/>
          <w:szCs w:val="24"/>
          <w:lang w:val="pt-BR"/>
        </w:rPr>
        <w:t xml:space="preserve"> </w:t>
      </w:r>
    </w:p>
    <w:p w14:paraId="3FA71431" w14:textId="77777777" w:rsidR="001629BE" w:rsidRDefault="001629BE"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 CPC 28 (2009</w:t>
      </w:r>
      <w:r w:rsidR="005F644F" w:rsidRPr="00A232C9">
        <w:rPr>
          <w:rFonts w:ascii="Times New Roman" w:hAnsi="Times New Roman"/>
          <w:sz w:val="24"/>
          <w:szCs w:val="24"/>
          <w:lang w:val="pt-BR"/>
        </w:rPr>
        <w:t>, p. 3 e 4</w:t>
      </w:r>
      <w:r w:rsidRPr="00A232C9">
        <w:rPr>
          <w:rFonts w:ascii="Times New Roman" w:hAnsi="Times New Roman"/>
          <w:sz w:val="24"/>
          <w:szCs w:val="24"/>
          <w:lang w:val="pt-BR"/>
        </w:rPr>
        <w:t xml:space="preserve">) cita alguns exemplos de </w:t>
      </w:r>
      <w:r w:rsidR="00A17FDA" w:rsidRPr="00A232C9">
        <w:rPr>
          <w:rFonts w:ascii="Times New Roman" w:hAnsi="Times New Roman"/>
          <w:sz w:val="24"/>
          <w:szCs w:val="24"/>
          <w:lang w:val="pt-BR"/>
        </w:rPr>
        <w:t>PPI</w:t>
      </w:r>
      <w:r w:rsidRPr="00A232C9">
        <w:rPr>
          <w:rFonts w:ascii="Times New Roman" w:hAnsi="Times New Roman"/>
          <w:sz w:val="24"/>
          <w:szCs w:val="24"/>
          <w:lang w:val="pt-BR"/>
        </w:rPr>
        <w:t>, como “terren</w:t>
      </w:r>
      <w:r w:rsidR="001B798E" w:rsidRPr="00A232C9">
        <w:rPr>
          <w:rFonts w:ascii="Times New Roman" w:hAnsi="Times New Roman"/>
          <w:sz w:val="24"/>
          <w:szCs w:val="24"/>
          <w:lang w:val="pt-BR"/>
        </w:rPr>
        <w:t>o</w:t>
      </w:r>
      <w:r w:rsidRPr="00A232C9">
        <w:rPr>
          <w:rFonts w:ascii="Times New Roman" w:hAnsi="Times New Roman"/>
          <w:sz w:val="24"/>
          <w:szCs w:val="24"/>
          <w:lang w:val="pt-BR"/>
        </w:rPr>
        <w:t xml:space="preserve">s mantidos para valorização de capital a longo prazo e não para venda a curto prazo no decurso ordinário dos negócios” e “edifício que esteja desocupado, mas mantido para ser arrendado sob um ou mais arrendamentos operacionais”. </w:t>
      </w:r>
    </w:p>
    <w:p w14:paraId="45AEA079" w14:textId="77777777" w:rsidR="00236713" w:rsidRPr="00F345E8" w:rsidRDefault="00236713" w:rsidP="008E7DAE">
      <w:pPr>
        <w:autoSpaceDE w:val="0"/>
        <w:autoSpaceDN w:val="0"/>
        <w:adjustRightInd w:val="0"/>
        <w:spacing w:after="0" w:line="240" w:lineRule="auto"/>
        <w:ind w:firstLine="567"/>
        <w:jc w:val="both"/>
        <w:rPr>
          <w:rFonts w:ascii="Times New Roman" w:hAnsi="Times New Roman"/>
          <w:sz w:val="20"/>
          <w:szCs w:val="20"/>
          <w:lang w:val="pt-BR"/>
        </w:rPr>
      </w:pPr>
    </w:p>
    <w:p w14:paraId="2E07139B" w14:textId="0AC60444" w:rsidR="00C05D60" w:rsidRDefault="00C05D60" w:rsidP="008E7DAE">
      <w:pPr>
        <w:autoSpaceDE w:val="0"/>
        <w:autoSpaceDN w:val="0"/>
        <w:adjustRightInd w:val="0"/>
        <w:spacing w:after="0" w:line="240" w:lineRule="auto"/>
        <w:ind w:left="2268"/>
        <w:jc w:val="both"/>
        <w:rPr>
          <w:rFonts w:ascii="Times New Roman" w:hAnsi="Times New Roman"/>
          <w:sz w:val="20"/>
          <w:szCs w:val="20"/>
          <w:lang w:val="pt-BR"/>
        </w:rPr>
      </w:pPr>
      <w:r w:rsidRPr="00A232C9">
        <w:rPr>
          <w:rFonts w:ascii="Times New Roman" w:hAnsi="Times New Roman"/>
          <w:sz w:val="20"/>
          <w:szCs w:val="20"/>
          <w:lang w:val="pt-BR"/>
        </w:rPr>
        <w:t>Propriedade para investimento é a propriedade (terreno ou edifício – ou parte do edifício – ou ambos) mantida (pelo proprietário ou pelo arrendatário em arrendamento financeiro) para auferir aluguel ou para valorização do capital ou para ambas e não para: (a) uso na produção ou fornecimento de bens ou serviços ou para finalidades administrativas; ou</w:t>
      </w:r>
      <w:r w:rsidR="00705819" w:rsidRPr="00A232C9">
        <w:rPr>
          <w:rFonts w:ascii="Times New Roman" w:hAnsi="Times New Roman"/>
          <w:sz w:val="20"/>
          <w:szCs w:val="20"/>
          <w:lang w:val="pt-BR"/>
        </w:rPr>
        <w:t xml:space="preserve"> </w:t>
      </w:r>
      <w:r w:rsidRPr="00A232C9">
        <w:rPr>
          <w:rFonts w:ascii="Times New Roman" w:hAnsi="Times New Roman"/>
          <w:sz w:val="20"/>
          <w:szCs w:val="20"/>
          <w:lang w:val="pt-BR"/>
        </w:rPr>
        <w:t>(b) venda no curso ordinário do negócio. (CPC 28, 2009</w:t>
      </w:r>
      <w:r w:rsidR="00DB0492" w:rsidRPr="00A232C9">
        <w:rPr>
          <w:rFonts w:ascii="Times New Roman" w:hAnsi="Times New Roman"/>
          <w:sz w:val="20"/>
          <w:szCs w:val="20"/>
          <w:lang w:val="pt-BR"/>
        </w:rPr>
        <w:t>, p. 3</w:t>
      </w:r>
      <w:r w:rsidRPr="00A232C9">
        <w:rPr>
          <w:rFonts w:ascii="Times New Roman" w:hAnsi="Times New Roman"/>
          <w:sz w:val="20"/>
          <w:szCs w:val="20"/>
          <w:lang w:val="pt-BR"/>
        </w:rPr>
        <w:t>).</w:t>
      </w:r>
    </w:p>
    <w:p w14:paraId="574F26CF" w14:textId="77777777" w:rsidR="00236713" w:rsidRPr="00A232C9" w:rsidRDefault="00236713" w:rsidP="008E7DAE">
      <w:pPr>
        <w:autoSpaceDE w:val="0"/>
        <w:autoSpaceDN w:val="0"/>
        <w:adjustRightInd w:val="0"/>
        <w:spacing w:after="0" w:line="240" w:lineRule="auto"/>
        <w:ind w:left="2268"/>
        <w:jc w:val="both"/>
        <w:rPr>
          <w:rFonts w:ascii="Times New Roman" w:hAnsi="Times New Roman"/>
          <w:sz w:val="20"/>
          <w:szCs w:val="20"/>
          <w:lang w:val="pt-BR"/>
        </w:rPr>
      </w:pPr>
    </w:p>
    <w:p w14:paraId="6087F72D" w14:textId="26AFF5D0" w:rsidR="00DB0492" w:rsidRPr="00A232C9" w:rsidRDefault="00E05756"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Quanto</w:t>
      </w:r>
      <w:r w:rsidR="005F644F" w:rsidRPr="00A232C9">
        <w:rPr>
          <w:rFonts w:ascii="Times New Roman" w:hAnsi="Times New Roman"/>
          <w:sz w:val="24"/>
          <w:szCs w:val="24"/>
          <w:lang w:val="pt-BR"/>
        </w:rPr>
        <w:t xml:space="preserve"> à mensuração das </w:t>
      </w:r>
      <w:r w:rsidR="002E6B3A">
        <w:rPr>
          <w:rFonts w:ascii="Times New Roman" w:hAnsi="Times New Roman"/>
          <w:sz w:val="24"/>
          <w:szCs w:val="24"/>
          <w:lang w:val="pt-BR"/>
        </w:rPr>
        <w:t>PPI</w:t>
      </w:r>
      <w:r w:rsidR="005F644F" w:rsidRPr="00A232C9">
        <w:rPr>
          <w:rFonts w:ascii="Times New Roman" w:hAnsi="Times New Roman"/>
          <w:sz w:val="24"/>
          <w:szCs w:val="24"/>
          <w:lang w:val="pt-BR"/>
        </w:rPr>
        <w:t xml:space="preserve">, inicialmente devem ser reconhecidas pelo custo – o preço de compra e dispêndios como remunerações profissionais de serviços legais, impostos de transferência e outros. Após o reconhecimento inicial pelo custo, estas propriedades podem ser mensuradas pelo valor justo ou pelo custo </w:t>
      </w:r>
      <w:r w:rsidR="005C6591" w:rsidRPr="00A232C9">
        <w:rPr>
          <w:rFonts w:ascii="Times New Roman" w:hAnsi="Times New Roman"/>
          <w:sz w:val="24"/>
          <w:szCs w:val="24"/>
          <w:lang w:val="pt-BR"/>
        </w:rPr>
        <w:t xml:space="preserve">através da escolha da política contábil adotada </w:t>
      </w:r>
      <w:r w:rsidR="005C6591" w:rsidRPr="00A232C9">
        <w:rPr>
          <w:rFonts w:ascii="Times New Roman" w:hAnsi="Times New Roman"/>
          <w:sz w:val="24"/>
          <w:szCs w:val="24"/>
          <w:lang w:val="pt-BR"/>
        </w:rPr>
        <w:lastRenderedPageBreak/>
        <w:t xml:space="preserve">pela entidade </w:t>
      </w:r>
      <w:r w:rsidR="005F644F" w:rsidRPr="00A232C9">
        <w:rPr>
          <w:rFonts w:ascii="Times New Roman" w:hAnsi="Times New Roman"/>
          <w:sz w:val="24"/>
          <w:szCs w:val="24"/>
          <w:lang w:val="pt-BR"/>
        </w:rPr>
        <w:t xml:space="preserve">(CPC 28, 2009). </w:t>
      </w:r>
      <w:r w:rsidRPr="00A232C9">
        <w:rPr>
          <w:rFonts w:ascii="Times New Roman" w:hAnsi="Times New Roman"/>
          <w:sz w:val="24"/>
          <w:szCs w:val="24"/>
          <w:lang w:val="pt-BR"/>
        </w:rPr>
        <w:t>V</w:t>
      </w:r>
      <w:r w:rsidR="00151BC1">
        <w:rPr>
          <w:rFonts w:ascii="Times New Roman" w:hAnsi="Times New Roman"/>
          <w:sz w:val="24"/>
          <w:szCs w:val="24"/>
          <w:lang w:val="pt-BR"/>
        </w:rPr>
        <w:t>alor j</w:t>
      </w:r>
      <w:r w:rsidR="005F644F" w:rsidRPr="00A232C9">
        <w:rPr>
          <w:rFonts w:ascii="Times New Roman" w:hAnsi="Times New Roman"/>
          <w:sz w:val="24"/>
          <w:szCs w:val="24"/>
          <w:lang w:val="pt-BR"/>
        </w:rPr>
        <w:t xml:space="preserve">usto </w:t>
      </w:r>
      <w:r w:rsidRPr="00A232C9">
        <w:rPr>
          <w:rFonts w:ascii="Times New Roman" w:hAnsi="Times New Roman"/>
          <w:sz w:val="24"/>
          <w:szCs w:val="24"/>
          <w:lang w:val="pt-BR"/>
        </w:rPr>
        <w:t>é</w:t>
      </w:r>
      <w:r w:rsidR="005F644F" w:rsidRPr="00A232C9">
        <w:rPr>
          <w:rFonts w:ascii="Times New Roman" w:hAnsi="Times New Roman"/>
          <w:sz w:val="24"/>
          <w:szCs w:val="24"/>
          <w:lang w:val="pt-BR"/>
        </w:rPr>
        <w:t xml:space="preserve"> definido como “o preço que seria recebido pela venda de um ativo ou que seria pago pela transferência de um passivo em uma transação não forçada entre participantes do mercado da data de mensuração” (CPC 28, 2009, p. 2).</w:t>
      </w:r>
    </w:p>
    <w:p w14:paraId="5B225954" w14:textId="3AB19ED2" w:rsidR="005F644F" w:rsidRPr="00A232C9" w:rsidRDefault="006809A8"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 entidade é obrigada a divulgar se aplica o método de custo ou o método de valor justo na mensuração posterior ao reconhecimento inicial destas propriedades, além de outras informações </w:t>
      </w:r>
      <w:r w:rsidR="00F85C82" w:rsidRPr="00A232C9">
        <w:rPr>
          <w:rFonts w:ascii="Times New Roman" w:hAnsi="Times New Roman"/>
          <w:sz w:val="24"/>
          <w:szCs w:val="24"/>
          <w:lang w:val="pt-BR"/>
        </w:rPr>
        <w:t>conforme o item 75 do CPC 28 (2009). É</w:t>
      </w:r>
      <w:r w:rsidR="005F644F" w:rsidRPr="00A232C9">
        <w:rPr>
          <w:rFonts w:ascii="Times New Roman" w:hAnsi="Times New Roman"/>
          <w:sz w:val="24"/>
          <w:szCs w:val="24"/>
          <w:lang w:val="pt-BR"/>
        </w:rPr>
        <w:t xml:space="preserve"> importante destacar que, mesmo a entidade optando pelo método de custo, </w:t>
      </w:r>
      <w:r w:rsidR="00F85C82" w:rsidRPr="00A232C9">
        <w:rPr>
          <w:rFonts w:ascii="Times New Roman" w:hAnsi="Times New Roman"/>
          <w:sz w:val="24"/>
          <w:szCs w:val="24"/>
          <w:lang w:val="pt-BR"/>
        </w:rPr>
        <w:t xml:space="preserve">é </w:t>
      </w:r>
      <w:r w:rsidR="005C6591" w:rsidRPr="00A232C9">
        <w:rPr>
          <w:rFonts w:ascii="Times New Roman" w:hAnsi="Times New Roman"/>
          <w:sz w:val="24"/>
          <w:szCs w:val="24"/>
          <w:lang w:val="pt-BR"/>
        </w:rPr>
        <w:t>obrigatória</w:t>
      </w:r>
      <w:r w:rsidR="005F644F" w:rsidRPr="00A232C9">
        <w:rPr>
          <w:rFonts w:ascii="Times New Roman" w:hAnsi="Times New Roman"/>
          <w:sz w:val="24"/>
          <w:szCs w:val="24"/>
          <w:lang w:val="pt-BR"/>
        </w:rPr>
        <w:t xml:space="preserve"> a mensuração do valor justo das </w:t>
      </w:r>
      <w:r w:rsidR="002E6B3A">
        <w:rPr>
          <w:rFonts w:ascii="Times New Roman" w:hAnsi="Times New Roman"/>
          <w:sz w:val="24"/>
          <w:szCs w:val="24"/>
          <w:lang w:val="pt-BR"/>
        </w:rPr>
        <w:t>PPI</w:t>
      </w:r>
      <w:r w:rsidR="005F644F" w:rsidRPr="00A232C9">
        <w:rPr>
          <w:rFonts w:ascii="Times New Roman" w:hAnsi="Times New Roman"/>
          <w:sz w:val="24"/>
          <w:szCs w:val="24"/>
          <w:lang w:val="pt-BR"/>
        </w:rPr>
        <w:t xml:space="preserve"> para finalidade de </w:t>
      </w:r>
      <w:r w:rsidR="001B798E" w:rsidRPr="00A232C9">
        <w:rPr>
          <w:rFonts w:ascii="Times New Roman" w:hAnsi="Times New Roman"/>
          <w:sz w:val="24"/>
          <w:szCs w:val="24"/>
          <w:lang w:val="pt-BR"/>
        </w:rPr>
        <w:t>divulgação</w:t>
      </w:r>
      <w:r w:rsidR="005F644F" w:rsidRPr="00A232C9">
        <w:rPr>
          <w:rFonts w:ascii="Times New Roman" w:hAnsi="Times New Roman"/>
          <w:sz w:val="24"/>
          <w:szCs w:val="24"/>
          <w:lang w:val="pt-BR"/>
        </w:rPr>
        <w:t xml:space="preserve">. Caso a escolha seja pelo método do valor justo, </w:t>
      </w:r>
      <w:r w:rsidR="00F91764" w:rsidRPr="00A232C9">
        <w:rPr>
          <w:rFonts w:ascii="Times New Roman" w:hAnsi="Times New Roman"/>
          <w:sz w:val="24"/>
          <w:szCs w:val="24"/>
          <w:lang w:val="pt-BR"/>
        </w:rPr>
        <w:t>há ocorrência d</w:t>
      </w:r>
      <w:r w:rsidR="005F644F" w:rsidRPr="00A232C9">
        <w:rPr>
          <w:rFonts w:ascii="Times New Roman" w:hAnsi="Times New Roman"/>
          <w:sz w:val="24"/>
          <w:szCs w:val="24"/>
          <w:lang w:val="pt-BR"/>
        </w:rPr>
        <w:t xml:space="preserve">a finalidade de mensuração. </w:t>
      </w:r>
      <w:r w:rsidR="005C6591" w:rsidRPr="00A232C9">
        <w:rPr>
          <w:rFonts w:ascii="Times New Roman" w:hAnsi="Times New Roman"/>
          <w:sz w:val="24"/>
          <w:szCs w:val="24"/>
          <w:lang w:val="pt-BR"/>
        </w:rPr>
        <w:t xml:space="preserve">Assim, </w:t>
      </w:r>
      <w:r w:rsidR="00151BC1">
        <w:rPr>
          <w:rFonts w:ascii="Times New Roman" w:hAnsi="Times New Roman"/>
          <w:sz w:val="24"/>
          <w:szCs w:val="24"/>
          <w:lang w:val="pt-BR"/>
        </w:rPr>
        <w:t>constata-se que existe</w:t>
      </w:r>
      <w:r w:rsidR="005C6591" w:rsidRPr="00A232C9">
        <w:rPr>
          <w:rFonts w:ascii="Times New Roman" w:hAnsi="Times New Roman"/>
          <w:sz w:val="24"/>
          <w:szCs w:val="24"/>
          <w:lang w:val="pt-BR"/>
        </w:rPr>
        <w:t xml:space="preserve"> um “incentivo”</w:t>
      </w:r>
      <w:r w:rsidR="00B3552D" w:rsidRPr="00A232C9">
        <w:rPr>
          <w:rFonts w:ascii="Times New Roman" w:hAnsi="Times New Roman"/>
          <w:sz w:val="24"/>
          <w:szCs w:val="24"/>
          <w:lang w:val="pt-BR"/>
        </w:rPr>
        <w:t xml:space="preserve"> para a mensuração por meio da política de valor justo já que as entidades são obrigadas a mensurá-lo independentemente do método escolhido. </w:t>
      </w:r>
    </w:p>
    <w:p w14:paraId="0E903899" w14:textId="00FF286A" w:rsidR="00E1752D" w:rsidRDefault="00B3552D" w:rsidP="00B2187B">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Como a </w:t>
      </w:r>
      <w:r w:rsidRPr="007A72BD">
        <w:rPr>
          <w:rFonts w:ascii="Times New Roman" w:hAnsi="Times New Roman"/>
          <w:sz w:val="24"/>
          <w:szCs w:val="24"/>
          <w:lang w:val="pt-BR"/>
        </w:rPr>
        <w:t xml:space="preserve">mensuração das </w:t>
      </w:r>
      <w:r w:rsidR="00E342A5" w:rsidRPr="007A72BD">
        <w:rPr>
          <w:rFonts w:ascii="Times New Roman" w:hAnsi="Times New Roman"/>
          <w:sz w:val="24"/>
          <w:szCs w:val="24"/>
          <w:lang w:val="pt-BR"/>
        </w:rPr>
        <w:t>PPI</w:t>
      </w:r>
      <w:r w:rsidRPr="007A72BD">
        <w:rPr>
          <w:rFonts w:ascii="Times New Roman" w:hAnsi="Times New Roman"/>
          <w:sz w:val="24"/>
          <w:szCs w:val="24"/>
          <w:lang w:val="pt-BR"/>
        </w:rPr>
        <w:t xml:space="preserve"> apó</w:t>
      </w:r>
      <w:r w:rsidR="00E8089D" w:rsidRPr="007A72BD">
        <w:rPr>
          <w:rFonts w:ascii="Times New Roman" w:hAnsi="Times New Roman"/>
          <w:sz w:val="24"/>
          <w:szCs w:val="24"/>
          <w:lang w:val="pt-BR"/>
        </w:rPr>
        <w:t>s o</w:t>
      </w:r>
      <w:r w:rsidR="00E8089D" w:rsidRPr="00A232C9">
        <w:rPr>
          <w:rFonts w:ascii="Times New Roman" w:hAnsi="Times New Roman"/>
          <w:sz w:val="24"/>
          <w:szCs w:val="24"/>
          <w:lang w:val="pt-BR"/>
        </w:rPr>
        <w:t xml:space="preserve"> reconhecimento inicial pode ser realizada</w:t>
      </w:r>
      <w:r w:rsidRPr="00A232C9">
        <w:rPr>
          <w:rFonts w:ascii="Times New Roman" w:hAnsi="Times New Roman"/>
          <w:sz w:val="24"/>
          <w:szCs w:val="24"/>
          <w:lang w:val="pt-BR"/>
        </w:rPr>
        <w:t xml:space="preserve"> por duas formas diferentes, é identificada a presença de escolhas contábeis que podem influenciar diretamente a comparabilidade das Demonstrações Contábeis de empresas de igual ou diferentes países. O IASB pronunciou-se a respeito alegando que permitiu a utilização das opções entre o método de custo e método do valor justo </w:t>
      </w:r>
      <w:r w:rsidR="00E8089D" w:rsidRPr="00A232C9">
        <w:rPr>
          <w:rFonts w:ascii="Times New Roman" w:hAnsi="Times New Roman"/>
          <w:sz w:val="24"/>
          <w:szCs w:val="24"/>
          <w:lang w:val="pt-BR"/>
        </w:rPr>
        <w:t xml:space="preserve">por existirem países com mercados menos desenvolvidos e que poderiam ter uma dificuldade maior na adoção ao valor justo </w:t>
      </w:r>
      <w:r w:rsidR="00E8089D" w:rsidRPr="00AB2945">
        <w:rPr>
          <w:rFonts w:ascii="Times New Roman" w:hAnsi="Times New Roman"/>
          <w:sz w:val="24"/>
          <w:szCs w:val="24"/>
          <w:lang w:val="pt-BR"/>
        </w:rPr>
        <w:t>(</w:t>
      </w:r>
      <w:r w:rsidR="00AB2945" w:rsidRPr="00AB2945">
        <w:rPr>
          <w:rFonts w:ascii="Times New Roman" w:hAnsi="Times New Roman"/>
          <w:sz w:val="24"/>
          <w:szCs w:val="24"/>
          <w:lang w:val="pt-BR"/>
        </w:rPr>
        <w:t>COSTA; SILVA; LAURENCEL, 2013</w:t>
      </w:r>
      <w:r w:rsidR="00E8089D" w:rsidRPr="00AB2945">
        <w:rPr>
          <w:rFonts w:ascii="Times New Roman" w:hAnsi="Times New Roman"/>
          <w:sz w:val="24"/>
          <w:szCs w:val="24"/>
          <w:lang w:val="pt-BR"/>
        </w:rPr>
        <w:t>).</w:t>
      </w:r>
      <w:r w:rsidR="00B2187B">
        <w:rPr>
          <w:rFonts w:ascii="Times New Roman" w:hAnsi="Times New Roman"/>
          <w:sz w:val="24"/>
          <w:szCs w:val="24"/>
          <w:lang w:val="pt-BR"/>
        </w:rPr>
        <w:t xml:space="preserve"> </w:t>
      </w:r>
      <w:r w:rsidR="00E8089D" w:rsidRPr="00A232C9">
        <w:rPr>
          <w:rFonts w:ascii="Times New Roman" w:hAnsi="Times New Roman"/>
          <w:sz w:val="24"/>
          <w:szCs w:val="24"/>
          <w:lang w:val="pt-BR"/>
        </w:rPr>
        <w:t xml:space="preserve">Desta forma, pressupõe-se que o método do valor justo é preferível pelo IASB e que os mercados mais desenvolvidos tendem a utilizar esta política para mensuração posterior das </w:t>
      </w:r>
      <w:r w:rsidR="002E6B3A">
        <w:rPr>
          <w:rFonts w:ascii="Times New Roman" w:hAnsi="Times New Roman"/>
          <w:sz w:val="24"/>
          <w:szCs w:val="24"/>
          <w:lang w:val="pt-BR"/>
        </w:rPr>
        <w:t>PPI</w:t>
      </w:r>
      <w:r w:rsidR="00E8089D" w:rsidRPr="00A232C9">
        <w:rPr>
          <w:rFonts w:ascii="Times New Roman" w:hAnsi="Times New Roman"/>
          <w:sz w:val="24"/>
          <w:szCs w:val="24"/>
          <w:lang w:val="pt-BR"/>
        </w:rPr>
        <w:t xml:space="preserve">. Porém, diversos estudos aplicam-se nesta </w:t>
      </w:r>
      <w:r w:rsidR="00C93D9C" w:rsidRPr="00A232C9">
        <w:rPr>
          <w:rFonts w:ascii="Times New Roman" w:hAnsi="Times New Roman"/>
          <w:sz w:val="24"/>
          <w:szCs w:val="24"/>
          <w:lang w:val="pt-BR"/>
        </w:rPr>
        <w:t xml:space="preserve">área, </w:t>
      </w:r>
      <w:r w:rsidR="000C7127">
        <w:rPr>
          <w:rFonts w:ascii="Times New Roman" w:hAnsi="Times New Roman"/>
          <w:sz w:val="24"/>
          <w:szCs w:val="24"/>
          <w:lang w:val="pt-BR"/>
        </w:rPr>
        <w:t>analisando</w:t>
      </w:r>
      <w:r w:rsidR="00C93D9C" w:rsidRPr="00A232C9">
        <w:rPr>
          <w:rFonts w:ascii="Times New Roman" w:hAnsi="Times New Roman"/>
          <w:sz w:val="24"/>
          <w:szCs w:val="24"/>
          <w:lang w:val="pt-BR"/>
        </w:rPr>
        <w:t xml:space="preserve"> </w:t>
      </w:r>
      <w:r w:rsidR="00E8089D" w:rsidRPr="00A232C9">
        <w:rPr>
          <w:rFonts w:ascii="Times New Roman" w:hAnsi="Times New Roman"/>
          <w:sz w:val="24"/>
          <w:szCs w:val="24"/>
          <w:lang w:val="pt-BR"/>
        </w:rPr>
        <w:t xml:space="preserve">qual método é mais aplicado e </w:t>
      </w:r>
      <w:r w:rsidR="00C93D9C" w:rsidRPr="00A232C9">
        <w:rPr>
          <w:rFonts w:ascii="Times New Roman" w:hAnsi="Times New Roman"/>
          <w:sz w:val="24"/>
          <w:szCs w:val="24"/>
          <w:lang w:val="pt-BR"/>
        </w:rPr>
        <w:t xml:space="preserve">defendendo </w:t>
      </w:r>
      <w:r w:rsidR="00E8089D" w:rsidRPr="00A232C9">
        <w:rPr>
          <w:rFonts w:ascii="Times New Roman" w:hAnsi="Times New Roman"/>
          <w:sz w:val="24"/>
          <w:szCs w:val="24"/>
          <w:lang w:val="pt-BR"/>
        </w:rPr>
        <w:t>qual representa uma informação contábil mais relevante.</w:t>
      </w:r>
    </w:p>
    <w:p w14:paraId="44A21B02" w14:textId="77777777" w:rsidR="008E7DAE" w:rsidRPr="00A232C9" w:rsidRDefault="008E7DAE" w:rsidP="008E7DAE">
      <w:pPr>
        <w:autoSpaceDE w:val="0"/>
        <w:autoSpaceDN w:val="0"/>
        <w:adjustRightInd w:val="0"/>
        <w:spacing w:after="0" w:line="240" w:lineRule="auto"/>
        <w:jc w:val="both"/>
        <w:rPr>
          <w:rFonts w:ascii="Times New Roman" w:hAnsi="Times New Roman"/>
          <w:sz w:val="24"/>
          <w:szCs w:val="24"/>
          <w:lang w:val="pt-BR"/>
        </w:rPr>
      </w:pPr>
    </w:p>
    <w:p w14:paraId="4DD80C2A" w14:textId="2FD4DD31" w:rsidR="007F2490" w:rsidRPr="00FA564D" w:rsidRDefault="00FA564D" w:rsidP="008E7DAE">
      <w:pPr>
        <w:pStyle w:val="PargrafodaLista"/>
        <w:numPr>
          <w:ilvl w:val="1"/>
          <w:numId w:val="4"/>
        </w:numPr>
        <w:spacing w:after="0"/>
        <w:rPr>
          <w:rFonts w:ascii="Times New Roman" w:hAnsi="Times New Roman"/>
          <w:sz w:val="24"/>
          <w:szCs w:val="24"/>
        </w:rPr>
      </w:pPr>
      <w:r>
        <w:rPr>
          <w:rFonts w:ascii="Times New Roman" w:hAnsi="Times New Roman"/>
          <w:sz w:val="24"/>
          <w:szCs w:val="24"/>
        </w:rPr>
        <w:t>ESTUDOS ANTERIORES</w:t>
      </w:r>
    </w:p>
    <w:p w14:paraId="74578524" w14:textId="77777777" w:rsidR="00C051D1" w:rsidRPr="00A232C9" w:rsidRDefault="00BA3DF9" w:rsidP="008E7DAE">
      <w:pPr>
        <w:autoSpaceDE w:val="0"/>
        <w:autoSpaceDN w:val="0"/>
        <w:adjustRightInd w:val="0"/>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6C5BC7" w:rsidRPr="00A232C9">
        <w:rPr>
          <w:rFonts w:ascii="Times New Roman" w:hAnsi="Times New Roman"/>
          <w:sz w:val="24"/>
          <w:szCs w:val="24"/>
          <w:lang w:val="pt-BR"/>
        </w:rPr>
        <w:t xml:space="preserve">A </w:t>
      </w:r>
      <w:r w:rsidR="00C051D1" w:rsidRPr="00A232C9">
        <w:rPr>
          <w:rFonts w:ascii="Times New Roman" w:hAnsi="Times New Roman"/>
          <w:sz w:val="24"/>
          <w:szCs w:val="24"/>
          <w:lang w:val="pt-BR"/>
        </w:rPr>
        <w:t xml:space="preserve">escolha contábil entre o método do custo e o método do valor justo </w:t>
      </w:r>
      <w:r w:rsidR="003E72BE" w:rsidRPr="00A232C9">
        <w:rPr>
          <w:rFonts w:ascii="Times New Roman" w:hAnsi="Times New Roman"/>
          <w:sz w:val="24"/>
          <w:szCs w:val="24"/>
          <w:lang w:val="pt-BR"/>
        </w:rPr>
        <w:t xml:space="preserve">na mensuração das </w:t>
      </w:r>
      <w:r w:rsidR="007844AB" w:rsidRPr="00A232C9">
        <w:rPr>
          <w:rFonts w:ascii="Times New Roman" w:hAnsi="Times New Roman"/>
          <w:sz w:val="24"/>
          <w:szCs w:val="24"/>
          <w:lang w:val="pt-BR"/>
        </w:rPr>
        <w:t xml:space="preserve">PPI </w:t>
      </w:r>
      <w:r w:rsidR="003E72BE" w:rsidRPr="00A232C9">
        <w:rPr>
          <w:rFonts w:ascii="Times New Roman" w:hAnsi="Times New Roman"/>
          <w:sz w:val="24"/>
          <w:szCs w:val="24"/>
          <w:lang w:val="pt-BR"/>
        </w:rPr>
        <w:t xml:space="preserve"> </w:t>
      </w:r>
      <w:r w:rsidR="00C051D1" w:rsidRPr="00A232C9">
        <w:rPr>
          <w:rFonts w:ascii="Times New Roman" w:hAnsi="Times New Roman"/>
          <w:sz w:val="24"/>
          <w:szCs w:val="24"/>
          <w:lang w:val="pt-BR"/>
        </w:rPr>
        <w:t>e seu reflexo na característica qualitativa de comparabilidade</w:t>
      </w:r>
      <w:r w:rsidR="006C5BC7" w:rsidRPr="00A232C9">
        <w:rPr>
          <w:rFonts w:ascii="Times New Roman" w:hAnsi="Times New Roman"/>
          <w:sz w:val="24"/>
          <w:szCs w:val="24"/>
          <w:lang w:val="pt-BR"/>
        </w:rPr>
        <w:t xml:space="preserve"> foi </w:t>
      </w:r>
      <w:r w:rsidR="003E72BE" w:rsidRPr="00A232C9">
        <w:rPr>
          <w:rFonts w:ascii="Times New Roman" w:hAnsi="Times New Roman"/>
          <w:sz w:val="24"/>
          <w:szCs w:val="24"/>
          <w:lang w:val="pt-BR"/>
        </w:rPr>
        <w:t xml:space="preserve">estudada em </w:t>
      </w:r>
      <w:r w:rsidR="00C051D1" w:rsidRPr="00A232C9">
        <w:rPr>
          <w:rFonts w:ascii="Times New Roman" w:hAnsi="Times New Roman"/>
          <w:sz w:val="24"/>
          <w:szCs w:val="24"/>
          <w:lang w:val="pt-BR"/>
        </w:rPr>
        <w:t>artigos nacionais e internacionais</w:t>
      </w:r>
      <w:r w:rsidR="003E72BE" w:rsidRPr="00A232C9">
        <w:rPr>
          <w:rFonts w:ascii="Times New Roman" w:hAnsi="Times New Roman"/>
          <w:sz w:val="24"/>
          <w:szCs w:val="24"/>
          <w:lang w:val="pt-BR"/>
        </w:rPr>
        <w:t>, que</w:t>
      </w:r>
      <w:r w:rsidR="00C051D1" w:rsidRPr="00A232C9">
        <w:rPr>
          <w:rFonts w:ascii="Times New Roman" w:hAnsi="Times New Roman"/>
          <w:sz w:val="24"/>
          <w:szCs w:val="24"/>
          <w:lang w:val="pt-BR"/>
        </w:rPr>
        <w:t xml:space="preserve"> contribuíram de forma significativa</w:t>
      </w:r>
      <w:r w:rsidR="003E72BE" w:rsidRPr="00A232C9">
        <w:rPr>
          <w:rFonts w:ascii="Times New Roman" w:hAnsi="Times New Roman"/>
          <w:sz w:val="24"/>
          <w:szCs w:val="24"/>
          <w:lang w:val="pt-BR"/>
        </w:rPr>
        <w:t xml:space="preserve"> para a área</w:t>
      </w:r>
      <w:r w:rsidR="00C051D1" w:rsidRPr="00A232C9">
        <w:rPr>
          <w:rFonts w:ascii="Times New Roman" w:hAnsi="Times New Roman"/>
          <w:sz w:val="24"/>
          <w:szCs w:val="24"/>
          <w:lang w:val="pt-BR"/>
        </w:rPr>
        <w:t>. Enquanto alguns buscam verificar qual método é mais aplicado entre diferentes países</w:t>
      </w:r>
      <w:r w:rsidR="00BE6274" w:rsidRPr="00A232C9">
        <w:rPr>
          <w:rFonts w:ascii="Times New Roman" w:hAnsi="Times New Roman"/>
          <w:sz w:val="24"/>
          <w:szCs w:val="24"/>
          <w:lang w:val="pt-BR"/>
        </w:rPr>
        <w:t xml:space="preserve"> ou entre o mesmo país</w:t>
      </w:r>
      <w:r w:rsidR="00C051D1" w:rsidRPr="00A232C9">
        <w:rPr>
          <w:rFonts w:ascii="Times New Roman" w:hAnsi="Times New Roman"/>
          <w:sz w:val="24"/>
          <w:szCs w:val="24"/>
          <w:lang w:val="pt-BR"/>
        </w:rPr>
        <w:t>, outros procuram i</w:t>
      </w:r>
      <w:r w:rsidR="00EA0292" w:rsidRPr="00A232C9">
        <w:rPr>
          <w:rFonts w:ascii="Times New Roman" w:hAnsi="Times New Roman"/>
          <w:sz w:val="24"/>
          <w:szCs w:val="24"/>
          <w:lang w:val="pt-BR"/>
        </w:rPr>
        <w:t>dentificar os fatores explicativos para a</w:t>
      </w:r>
      <w:r w:rsidR="00C051D1" w:rsidRPr="00A232C9">
        <w:rPr>
          <w:rFonts w:ascii="Times New Roman" w:hAnsi="Times New Roman"/>
          <w:sz w:val="24"/>
          <w:szCs w:val="24"/>
          <w:lang w:val="pt-BR"/>
        </w:rPr>
        <w:t xml:space="preserve"> escolha cont</w:t>
      </w:r>
      <w:r w:rsidR="00EA0292" w:rsidRPr="00A232C9">
        <w:rPr>
          <w:rFonts w:ascii="Times New Roman" w:hAnsi="Times New Roman"/>
          <w:sz w:val="24"/>
          <w:szCs w:val="24"/>
          <w:lang w:val="pt-BR"/>
        </w:rPr>
        <w:t>ábil ou até mesmo verificar o nível de divulgação das propriedades frente às regras do CPC 28 (2009).</w:t>
      </w:r>
    </w:p>
    <w:p w14:paraId="5C9BA6C5" w14:textId="38637E45" w:rsidR="004A4CC6" w:rsidRPr="00A232C9" w:rsidRDefault="00BA3DF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4A4CC6" w:rsidRPr="00A232C9">
        <w:rPr>
          <w:rFonts w:ascii="Times New Roman" w:hAnsi="Times New Roman"/>
          <w:sz w:val="24"/>
          <w:szCs w:val="24"/>
          <w:lang w:val="pt-BR"/>
        </w:rPr>
        <w:t>Costa</w:t>
      </w:r>
      <w:r w:rsidR="00AB2945">
        <w:rPr>
          <w:rFonts w:ascii="Times New Roman" w:hAnsi="Times New Roman"/>
          <w:sz w:val="24"/>
          <w:szCs w:val="24"/>
          <w:lang w:val="pt-BR"/>
        </w:rPr>
        <w:t xml:space="preserve">, Silva e Laurencel </w:t>
      </w:r>
      <w:r w:rsidR="004A4CC6" w:rsidRPr="00A232C9">
        <w:rPr>
          <w:rFonts w:ascii="Times New Roman" w:hAnsi="Times New Roman"/>
          <w:sz w:val="24"/>
          <w:szCs w:val="24"/>
          <w:lang w:val="pt-BR"/>
        </w:rPr>
        <w:t xml:space="preserve">(2013) buscaram investigar quais são os incentivos econômicos para a escolha do método contábil na mensuração das </w:t>
      </w:r>
      <w:r w:rsidR="007844AB" w:rsidRPr="00A232C9">
        <w:rPr>
          <w:rFonts w:ascii="Times New Roman" w:hAnsi="Times New Roman"/>
          <w:sz w:val="24"/>
          <w:szCs w:val="24"/>
          <w:lang w:val="pt-BR"/>
        </w:rPr>
        <w:t>PPI</w:t>
      </w:r>
      <w:r w:rsidR="004A4CC6" w:rsidRPr="00A232C9">
        <w:rPr>
          <w:rFonts w:ascii="Times New Roman" w:hAnsi="Times New Roman"/>
          <w:sz w:val="24"/>
          <w:szCs w:val="24"/>
          <w:lang w:val="pt-BR"/>
        </w:rPr>
        <w:t xml:space="preserve">, além de expor a ocorrência de cada método contábil e a qualidade das informações divulgadas de acordo com as exigências do CPC 28 (2009). Na amostra de 36 empresas brasileiras não financeiras de capital aberto, os autores identificaram que 39% adotaram o método do valor justo. Além disso, o incentivo econômico encontrado no estudo foi o porte da empresa, representado pela receita líquida. </w:t>
      </w:r>
      <w:r w:rsidR="00DB0D07" w:rsidRPr="00A232C9">
        <w:rPr>
          <w:rFonts w:ascii="Times New Roman" w:hAnsi="Times New Roman"/>
          <w:sz w:val="24"/>
          <w:szCs w:val="24"/>
          <w:lang w:val="pt-BR"/>
        </w:rPr>
        <w:t xml:space="preserve">Com </w:t>
      </w:r>
      <w:r w:rsidR="004A4CC6" w:rsidRPr="00A232C9">
        <w:rPr>
          <w:rFonts w:ascii="Times New Roman" w:hAnsi="Times New Roman"/>
          <w:sz w:val="24"/>
          <w:szCs w:val="24"/>
          <w:lang w:val="pt-BR"/>
        </w:rPr>
        <w:t xml:space="preserve">relação à divulgação, o estudo identificou que 68% das empresas optantes pelo método de custo divulgaram o valor justo em notas explicativas. </w:t>
      </w:r>
    </w:p>
    <w:p w14:paraId="5A59B499" w14:textId="77777777" w:rsidR="004A4CC6" w:rsidRPr="00A232C9" w:rsidRDefault="004A4CC6"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Desta forma, os autores concluíram que empresas pertencentes ao mesmo setor apresentaram diferentes escolhas contábeis na mensuração das PPI e que o nível de conformidade de divulgação segundo o CPC 28</w:t>
      </w:r>
      <w:r w:rsidR="00215B72" w:rsidRPr="00A232C9">
        <w:rPr>
          <w:rFonts w:ascii="Times New Roman" w:hAnsi="Times New Roman"/>
          <w:sz w:val="24"/>
          <w:szCs w:val="24"/>
          <w:lang w:val="pt-BR"/>
        </w:rPr>
        <w:t xml:space="preserve"> (2009) está abaixo do esperado. Tais constatações acometem a comparabilidade das Demonstrações Contábeis, </w:t>
      </w:r>
      <w:r w:rsidR="00DB0D07" w:rsidRPr="00A232C9">
        <w:rPr>
          <w:rFonts w:ascii="Times New Roman" w:hAnsi="Times New Roman"/>
          <w:sz w:val="24"/>
          <w:szCs w:val="24"/>
          <w:lang w:val="pt-BR"/>
        </w:rPr>
        <w:t>dado</w:t>
      </w:r>
      <w:r w:rsidR="00215B72" w:rsidRPr="00A232C9">
        <w:rPr>
          <w:rFonts w:ascii="Times New Roman" w:hAnsi="Times New Roman"/>
          <w:sz w:val="24"/>
          <w:szCs w:val="24"/>
          <w:lang w:val="pt-BR"/>
        </w:rPr>
        <w:t xml:space="preserve"> que</w:t>
      </w:r>
      <w:r w:rsidRPr="00A232C9">
        <w:rPr>
          <w:rFonts w:ascii="Times New Roman" w:hAnsi="Times New Roman"/>
          <w:sz w:val="24"/>
          <w:szCs w:val="24"/>
          <w:lang w:val="pt-BR"/>
        </w:rPr>
        <w:t xml:space="preserve"> </w:t>
      </w:r>
      <w:r w:rsidR="00215B72" w:rsidRPr="00A232C9">
        <w:rPr>
          <w:rFonts w:ascii="Times New Roman" w:hAnsi="Times New Roman"/>
          <w:sz w:val="24"/>
          <w:szCs w:val="24"/>
          <w:lang w:val="pt-BR"/>
        </w:rPr>
        <w:t xml:space="preserve">os usuários correm risco de tomar decisões com base em informações levantadas por métodos diferentes, e a divulgação incompleta os sujeita a não terem acesso </w:t>
      </w:r>
      <w:r w:rsidR="007844AB" w:rsidRPr="00A232C9">
        <w:rPr>
          <w:rFonts w:ascii="Times New Roman" w:hAnsi="Times New Roman"/>
          <w:sz w:val="24"/>
          <w:szCs w:val="24"/>
          <w:lang w:val="pt-BR"/>
        </w:rPr>
        <w:t>a</w:t>
      </w:r>
      <w:r w:rsidR="00215B72" w:rsidRPr="00A232C9">
        <w:rPr>
          <w:rFonts w:ascii="Times New Roman" w:hAnsi="Times New Roman"/>
          <w:sz w:val="24"/>
          <w:szCs w:val="24"/>
          <w:lang w:val="pt-BR"/>
        </w:rPr>
        <w:t xml:space="preserve"> informações importantes</w:t>
      </w:r>
      <w:r w:rsidRPr="00A232C9">
        <w:rPr>
          <w:rFonts w:ascii="Times New Roman" w:hAnsi="Times New Roman"/>
          <w:sz w:val="24"/>
          <w:szCs w:val="24"/>
          <w:lang w:val="pt-BR"/>
        </w:rPr>
        <w:t xml:space="preserve">. O estudo também concretizou a presença da hipótese dos planos de incentivo pois empresas com menor receita líquida tendem a mensurar suas propriedades pelo método do valor justo, aumentando o resultado. </w:t>
      </w:r>
    </w:p>
    <w:p w14:paraId="3E72340A" w14:textId="2D9493AA" w:rsidR="00D8075F" w:rsidRPr="00A232C9" w:rsidRDefault="00D8075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lastRenderedPageBreak/>
        <w:t xml:space="preserve">Analisando as escolhas contábeis para </w:t>
      </w:r>
      <w:r w:rsidR="002E6B3A">
        <w:rPr>
          <w:rFonts w:ascii="Times New Roman" w:hAnsi="Times New Roman"/>
          <w:sz w:val="24"/>
          <w:szCs w:val="24"/>
          <w:lang w:val="pt-BR"/>
        </w:rPr>
        <w:t>PPI</w:t>
      </w:r>
      <w:r w:rsidRPr="00A232C9">
        <w:rPr>
          <w:rFonts w:ascii="Times New Roman" w:hAnsi="Times New Roman"/>
          <w:sz w:val="24"/>
          <w:szCs w:val="24"/>
          <w:lang w:val="pt-BR"/>
        </w:rPr>
        <w:t xml:space="preserve"> durante os anos de 2009 e 2010 de 39 empresas pertencentes à BM&amp;FBOVESPA e possíveis variáveis significativas relacionadas ao método, Andrade</w:t>
      </w:r>
      <w:r w:rsidR="00AB2945">
        <w:rPr>
          <w:rFonts w:ascii="Times New Roman" w:hAnsi="Times New Roman"/>
          <w:sz w:val="24"/>
          <w:szCs w:val="24"/>
          <w:lang w:val="pt-BR"/>
        </w:rPr>
        <w:t xml:space="preserve">, Silva e Malaquias </w:t>
      </w:r>
      <w:r w:rsidRPr="00A232C9">
        <w:rPr>
          <w:rFonts w:ascii="Times New Roman" w:hAnsi="Times New Roman"/>
          <w:sz w:val="24"/>
          <w:szCs w:val="24"/>
          <w:lang w:val="pt-BR"/>
        </w:rPr>
        <w:t xml:space="preserve">(2013) verificaram que 44% adotaram o método do valor justo e, consequentemente, 56% adotaram o método do custo. Além disso, concluiu-se que nenhuma das variáveis utilizadas no estudo apresentou relação com a escolha contábil para mensuração de </w:t>
      </w:r>
      <w:r w:rsidR="007844AB" w:rsidRPr="00A232C9">
        <w:rPr>
          <w:rFonts w:ascii="Times New Roman" w:hAnsi="Times New Roman"/>
          <w:sz w:val="24"/>
          <w:szCs w:val="24"/>
          <w:lang w:val="pt-BR"/>
        </w:rPr>
        <w:t>PPI</w:t>
      </w:r>
      <w:r w:rsidRPr="00A232C9">
        <w:rPr>
          <w:rFonts w:ascii="Times New Roman" w:hAnsi="Times New Roman"/>
          <w:sz w:val="24"/>
          <w:szCs w:val="24"/>
          <w:lang w:val="pt-BR"/>
        </w:rPr>
        <w:t>.</w:t>
      </w:r>
    </w:p>
    <w:p w14:paraId="3E433109" w14:textId="77777777" w:rsidR="00D8075F" w:rsidRPr="00A232C9" w:rsidRDefault="00D8075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Kolozsvari, Marques e Macedo (2014) focaram seu estudo no segmento de exploração imobiliária de empreendimentos comerciais buscando definir o impacto da escolha entre as opções de políticas contábeis de mensuração nas </w:t>
      </w:r>
      <w:r w:rsidR="007844AB" w:rsidRPr="00A232C9">
        <w:rPr>
          <w:rFonts w:ascii="Times New Roman" w:hAnsi="Times New Roman"/>
          <w:sz w:val="24"/>
          <w:szCs w:val="24"/>
          <w:lang w:val="pt-BR"/>
        </w:rPr>
        <w:t>PPI</w:t>
      </w:r>
      <w:r w:rsidRPr="00A232C9">
        <w:rPr>
          <w:rFonts w:ascii="Times New Roman" w:hAnsi="Times New Roman"/>
          <w:sz w:val="24"/>
          <w:szCs w:val="24"/>
          <w:lang w:val="pt-BR"/>
        </w:rPr>
        <w:t xml:space="preserve"> no resultado das empresas. Por meio de uma forma de cálculo para compara</w:t>
      </w:r>
      <w:r w:rsidR="00F01E2F" w:rsidRPr="00A232C9">
        <w:rPr>
          <w:rFonts w:ascii="Times New Roman" w:hAnsi="Times New Roman"/>
          <w:sz w:val="24"/>
          <w:szCs w:val="24"/>
          <w:lang w:val="pt-BR"/>
        </w:rPr>
        <w:t>r</w:t>
      </w:r>
      <w:r w:rsidRPr="00A232C9">
        <w:rPr>
          <w:rFonts w:ascii="Times New Roman" w:hAnsi="Times New Roman"/>
          <w:sz w:val="24"/>
          <w:szCs w:val="24"/>
          <w:lang w:val="pt-BR"/>
        </w:rPr>
        <w:t xml:space="preserve"> resultados antes dos impostos, o estudo ilustrou que as empresas que utilizam o método do valor justo para mensuração possuem maiores resultados e rentabilidade.</w:t>
      </w:r>
    </w:p>
    <w:p w14:paraId="32BCF219" w14:textId="18090B3E" w:rsidR="00D8075F" w:rsidRPr="00A232C9" w:rsidRDefault="00D8075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O artigo de Silva, Fonseca e Nogueira (2014) apresentou como objetivo o estudo do nível de conformidade das empresas durante o exercício de 2012 segundo as divulgações exigidas pelo Pronunciamento Técnico CPC 28 (2009). Desta forma, os autores constataram que o nível de divulgação das empresas optantes pelo método de custo foi mais satisfatório com relação às empresas optantes pelo método de valor justo. As empresas pertencentes ao ramo de exploração de imóveis são as que obtiveram maior percentual de divulgação </w:t>
      </w:r>
      <w:r w:rsidR="00B8417A" w:rsidRPr="00A232C9">
        <w:rPr>
          <w:rFonts w:ascii="Times New Roman" w:hAnsi="Times New Roman"/>
          <w:sz w:val="24"/>
          <w:szCs w:val="24"/>
          <w:lang w:val="pt-BR"/>
        </w:rPr>
        <w:t xml:space="preserve">visto </w:t>
      </w:r>
      <w:r w:rsidRPr="00A232C9">
        <w:rPr>
          <w:rFonts w:ascii="Times New Roman" w:hAnsi="Times New Roman"/>
          <w:sz w:val="24"/>
          <w:szCs w:val="24"/>
          <w:lang w:val="pt-BR"/>
        </w:rPr>
        <w:t>que apresentaram valores mais s</w:t>
      </w:r>
      <w:r w:rsidR="00AB2945">
        <w:rPr>
          <w:rFonts w:ascii="Times New Roman" w:hAnsi="Times New Roman"/>
          <w:sz w:val="24"/>
          <w:szCs w:val="24"/>
          <w:lang w:val="pt-BR"/>
        </w:rPr>
        <w:t xml:space="preserve">ignificativos para as PPI. Além disso, o estudo identificou </w:t>
      </w:r>
      <w:r w:rsidRPr="00A232C9">
        <w:rPr>
          <w:rFonts w:ascii="Times New Roman" w:hAnsi="Times New Roman"/>
          <w:sz w:val="24"/>
          <w:szCs w:val="24"/>
          <w:lang w:val="pt-BR"/>
        </w:rPr>
        <w:t xml:space="preserve">dificuldades de evidenciação das </w:t>
      </w:r>
      <w:r w:rsidR="00F01E2F" w:rsidRPr="00A232C9">
        <w:rPr>
          <w:rFonts w:ascii="Times New Roman" w:hAnsi="Times New Roman"/>
          <w:sz w:val="24"/>
          <w:szCs w:val="24"/>
          <w:lang w:val="pt-BR"/>
        </w:rPr>
        <w:t>PPI</w:t>
      </w:r>
      <w:r w:rsidRPr="00A232C9">
        <w:rPr>
          <w:rFonts w:ascii="Times New Roman" w:hAnsi="Times New Roman"/>
          <w:sz w:val="24"/>
          <w:szCs w:val="24"/>
          <w:lang w:val="pt-BR"/>
        </w:rPr>
        <w:t xml:space="preserve"> em Demonstrações Contábeis e Notas Explicativas, afetando a comparabilidade de informações e a tomada de decisão dos investidores.</w:t>
      </w:r>
    </w:p>
    <w:p w14:paraId="15A07C08" w14:textId="7DCC273F" w:rsidR="000761DF" w:rsidRPr="00A232C9" w:rsidRDefault="000761D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Souza</w:t>
      </w:r>
      <w:r w:rsidR="001623A0" w:rsidRPr="00A232C9">
        <w:rPr>
          <w:rFonts w:ascii="Times New Roman" w:hAnsi="Times New Roman"/>
          <w:sz w:val="24"/>
          <w:szCs w:val="24"/>
          <w:lang w:val="pt-BR"/>
        </w:rPr>
        <w:t xml:space="preserve"> </w:t>
      </w:r>
      <w:r w:rsidR="001623A0" w:rsidRPr="00A232C9">
        <w:rPr>
          <w:rFonts w:ascii="Times New Roman" w:hAnsi="Times New Roman"/>
          <w:i/>
          <w:sz w:val="24"/>
          <w:szCs w:val="24"/>
          <w:lang w:val="pt-BR"/>
        </w:rPr>
        <w:t>et al.</w:t>
      </w:r>
      <w:r w:rsidRPr="00A232C9">
        <w:rPr>
          <w:rFonts w:ascii="Times New Roman" w:hAnsi="Times New Roman"/>
          <w:sz w:val="24"/>
          <w:szCs w:val="24"/>
          <w:lang w:val="pt-BR"/>
        </w:rPr>
        <w:t xml:space="preserve"> (2015) estudaram o grau de comparabilidade e os fatores determinantes para a escolha contábil de mensuração posterior ao reconhecimento inicial para </w:t>
      </w:r>
      <w:r w:rsidR="00F01E2F" w:rsidRPr="00A232C9">
        <w:rPr>
          <w:rFonts w:ascii="Times New Roman" w:hAnsi="Times New Roman"/>
          <w:sz w:val="24"/>
          <w:szCs w:val="24"/>
          <w:lang w:val="pt-BR"/>
        </w:rPr>
        <w:t>PPI</w:t>
      </w:r>
      <w:r w:rsidRPr="00A232C9">
        <w:rPr>
          <w:rFonts w:ascii="Times New Roman" w:hAnsi="Times New Roman"/>
          <w:sz w:val="24"/>
          <w:szCs w:val="24"/>
          <w:lang w:val="pt-BR"/>
        </w:rPr>
        <w:t xml:space="preserve"> de companhias abertas brasileiras e portuguesas entre os períodos de 2010 e 2012. Por meio do índice T (</w:t>
      </w:r>
      <w:r w:rsidRPr="00F673D0">
        <w:rPr>
          <w:rFonts w:ascii="Times New Roman" w:hAnsi="Times New Roman"/>
          <w:i/>
          <w:sz w:val="24"/>
          <w:szCs w:val="24"/>
          <w:lang w:val="pt-BR"/>
        </w:rPr>
        <w:t>T index</w:t>
      </w:r>
      <w:r w:rsidRPr="00A232C9">
        <w:rPr>
          <w:rFonts w:ascii="Times New Roman" w:hAnsi="Times New Roman"/>
          <w:sz w:val="24"/>
          <w:szCs w:val="24"/>
          <w:lang w:val="pt-BR"/>
        </w:rPr>
        <w:t>) para a medição do grau de comparabilidade nacional e internacional e dos parâmetros estabelecidos por Souza</w:t>
      </w:r>
      <w:r w:rsidR="003E2AD7">
        <w:rPr>
          <w:rFonts w:ascii="Times New Roman" w:hAnsi="Times New Roman"/>
          <w:sz w:val="24"/>
          <w:szCs w:val="24"/>
          <w:lang w:val="pt-BR"/>
        </w:rPr>
        <w:t xml:space="preserve">, Silva e Costa </w:t>
      </w:r>
      <w:r w:rsidRPr="00A232C9">
        <w:rPr>
          <w:rFonts w:ascii="Times New Roman" w:hAnsi="Times New Roman"/>
          <w:sz w:val="24"/>
          <w:szCs w:val="24"/>
          <w:lang w:val="pt-BR"/>
        </w:rPr>
        <w:t xml:space="preserve">(2013), verificaram que a comparabilidade brasileira é considerada média e vem decrescendo ao longo dos anos. </w:t>
      </w:r>
      <w:r w:rsidR="00DB0D07" w:rsidRPr="00A232C9">
        <w:rPr>
          <w:rFonts w:ascii="Times New Roman" w:hAnsi="Times New Roman"/>
          <w:sz w:val="24"/>
          <w:szCs w:val="24"/>
          <w:lang w:val="pt-BR"/>
        </w:rPr>
        <w:t xml:space="preserve">Para </w:t>
      </w:r>
      <w:r w:rsidRPr="00A232C9">
        <w:rPr>
          <w:rFonts w:ascii="Times New Roman" w:hAnsi="Times New Roman"/>
          <w:sz w:val="24"/>
          <w:szCs w:val="24"/>
          <w:lang w:val="pt-BR"/>
        </w:rPr>
        <w:t>as empresas portuguesas, apesar de também apresentarem uma comparabilidade média, foram verificados valores estáveis entre 2010 e 2012.</w:t>
      </w:r>
    </w:p>
    <w:p w14:paraId="48C2F54E" w14:textId="2FF39B84" w:rsidR="000761DF" w:rsidRPr="00A232C9" w:rsidRDefault="000761D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A comparabilidade internacional, entre os países de Portugal e Brasil, no estudo de Souza</w:t>
      </w:r>
      <w:r w:rsidR="001623A0" w:rsidRPr="00A232C9">
        <w:rPr>
          <w:rFonts w:ascii="Times New Roman" w:hAnsi="Times New Roman"/>
          <w:sz w:val="24"/>
          <w:szCs w:val="24"/>
          <w:lang w:val="pt-BR"/>
        </w:rPr>
        <w:t xml:space="preserve"> </w:t>
      </w:r>
      <w:r w:rsidR="001623A0" w:rsidRPr="00A232C9">
        <w:rPr>
          <w:rFonts w:ascii="Times New Roman" w:hAnsi="Times New Roman"/>
          <w:i/>
          <w:sz w:val="24"/>
          <w:szCs w:val="24"/>
          <w:lang w:val="pt-BR"/>
        </w:rPr>
        <w:t>et al.</w:t>
      </w:r>
      <w:r w:rsidRPr="00A232C9">
        <w:rPr>
          <w:rFonts w:ascii="Times New Roman" w:hAnsi="Times New Roman"/>
          <w:sz w:val="24"/>
          <w:szCs w:val="24"/>
          <w:lang w:val="pt-BR"/>
        </w:rPr>
        <w:t xml:space="preserve"> (2015) foi caracterizada como média, com valores próximos a uma comparabilidade baixa e decrescentes ao longo dos anos. Com relação às variáveis explicativas para a escolha do método contábil, o estudo identificou Big Four, país, endividamento, relevância do saldo das propriedades e lucro líquido. O artigo apresentou como uma das principais contribuições a utilização do índice T.</w:t>
      </w:r>
    </w:p>
    <w:p w14:paraId="7A49863A" w14:textId="4EAA5B99" w:rsidR="00C051D1" w:rsidRPr="00A232C9" w:rsidRDefault="002F1EB6"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C</w:t>
      </w:r>
      <w:r w:rsidR="00BF5A9D" w:rsidRPr="00A232C9">
        <w:rPr>
          <w:rFonts w:ascii="Times New Roman" w:hAnsi="Times New Roman"/>
          <w:sz w:val="24"/>
          <w:szCs w:val="24"/>
          <w:lang w:val="pt-BR"/>
        </w:rPr>
        <w:t xml:space="preserve">om o objetivo de identificar as possíveis características para as escolhas contábeis em companhias abertas da BM&amp;FBOVESPA e NYSE em </w:t>
      </w:r>
      <w:r w:rsidR="00F01E2F" w:rsidRPr="00A232C9">
        <w:rPr>
          <w:rFonts w:ascii="Times New Roman" w:hAnsi="Times New Roman"/>
          <w:sz w:val="24"/>
          <w:szCs w:val="24"/>
          <w:lang w:val="pt-BR"/>
        </w:rPr>
        <w:t>PPI</w:t>
      </w:r>
      <w:r w:rsidR="00BF5A9D" w:rsidRPr="00A232C9">
        <w:rPr>
          <w:rFonts w:ascii="Times New Roman" w:hAnsi="Times New Roman"/>
          <w:sz w:val="24"/>
          <w:szCs w:val="24"/>
          <w:lang w:val="pt-BR"/>
        </w:rPr>
        <w:t xml:space="preserve"> no ano de 2013, </w:t>
      </w:r>
      <w:r w:rsidRPr="00A232C9">
        <w:rPr>
          <w:rFonts w:ascii="Times New Roman" w:hAnsi="Times New Roman"/>
          <w:sz w:val="24"/>
          <w:szCs w:val="24"/>
          <w:lang w:val="pt-BR"/>
        </w:rPr>
        <w:t xml:space="preserve">Botinha e Lemes (2016) </w:t>
      </w:r>
      <w:r w:rsidR="00BF5A9D" w:rsidRPr="00A232C9">
        <w:rPr>
          <w:rFonts w:ascii="Times New Roman" w:hAnsi="Times New Roman"/>
          <w:sz w:val="24"/>
          <w:szCs w:val="24"/>
          <w:lang w:val="pt-BR"/>
        </w:rPr>
        <w:t>conclu</w:t>
      </w:r>
      <w:r w:rsidRPr="00A232C9">
        <w:rPr>
          <w:rFonts w:ascii="Times New Roman" w:hAnsi="Times New Roman"/>
          <w:sz w:val="24"/>
          <w:szCs w:val="24"/>
          <w:lang w:val="pt-BR"/>
        </w:rPr>
        <w:t>íram</w:t>
      </w:r>
      <w:r w:rsidR="00BF5A9D" w:rsidRPr="00A232C9">
        <w:rPr>
          <w:rFonts w:ascii="Times New Roman" w:hAnsi="Times New Roman"/>
          <w:sz w:val="24"/>
          <w:szCs w:val="24"/>
          <w:lang w:val="pt-BR"/>
        </w:rPr>
        <w:t xml:space="preserve"> que ocorreu uma maior utilização do método do custo pelas empresas em ambas as bolsas e que as variáveis significativas para decisão da política contábil foram Big Four, tamanho da empresa, relevância do saldo das </w:t>
      </w:r>
      <w:r w:rsidR="002E6B3A">
        <w:rPr>
          <w:rFonts w:ascii="Times New Roman" w:hAnsi="Times New Roman"/>
          <w:sz w:val="24"/>
          <w:szCs w:val="24"/>
          <w:lang w:val="pt-BR"/>
        </w:rPr>
        <w:t>PPI</w:t>
      </w:r>
      <w:r w:rsidR="00BF5A9D" w:rsidRPr="00A232C9">
        <w:rPr>
          <w:rFonts w:ascii="Times New Roman" w:hAnsi="Times New Roman"/>
          <w:sz w:val="24"/>
          <w:szCs w:val="24"/>
          <w:lang w:val="pt-BR"/>
        </w:rPr>
        <w:t xml:space="preserve"> e o setor de telecomunicações. </w:t>
      </w:r>
    </w:p>
    <w:p w14:paraId="71AF578D" w14:textId="4DB1BD36" w:rsidR="007F3F6F" w:rsidRPr="00A232C9" w:rsidRDefault="007F3F6F" w:rsidP="008E7DAE">
      <w:pPr>
        <w:autoSpaceDE w:val="0"/>
        <w:autoSpaceDN w:val="0"/>
        <w:adjustRightInd w:val="0"/>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Os autores encontraram resultados que fornecem indícios da existência de um </w:t>
      </w:r>
      <w:r w:rsidRPr="00A232C9">
        <w:rPr>
          <w:rFonts w:ascii="Times New Roman" w:hAnsi="Times New Roman"/>
          <w:i/>
          <w:sz w:val="24"/>
          <w:szCs w:val="24"/>
          <w:lang w:val="pt-BR"/>
        </w:rPr>
        <w:t>status quo</w:t>
      </w:r>
      <w:r w:rsidRPr="00A232C9">
        <w:rPr>
          <w:rFonts w:ascii="Times New Roman" w:hAnsi="Times New Roman"/>
          <w:sz w:val="24"/>
          <w:szCs w:val="24"/>
          <w:lang w:val="pt-BR"/>
        </w:rPr>
        <w:t xml:space="preserve">, que diz respeito </w:t>
      </w:r>
      <w:r w:rsidR="00F01E2F" w:rsidRPr="00A232C9">
        <w:rPr>
          <w:rFonts w:ascii="Times New Roman" w:hAnsi="Times New Roman"/>
          <w:sz w:val="24"/>
          <w:szCs w:val="24"/>
          <w:lang w:val="pt-BR"/>
        </w:rPr>
        <w:t>à</w:t>
      </w:r>
      <w:r w:rsidRPr="00A232C9">
        <w:rPr>
          <w:rFonts w:ascii="Times New Roman" w:hAnsi="Times New Roman"/>
          <w:sz w:val="24"/>
          <w:szCs w:val="24"/>
          <w:lang w:val="pt-BR"/>
        </w:rPr>
        <w:t xml:space="preserve"> “zona de conforto”, e não reconheceram que empresas pertencentes a mercados mais desenvolvidos teriam maior aceitação ao valor justo, já que os percentuais para adoção deste método entre NYSE</w:t>
      </w:r>
      <w:r w:rsidR="00BE6274" w:rsidRPr="00A232C9">
        <w:rPr>
          <w:rFonts w:ascii="Times New Roman" w:hAnsi="Times New Roman"/>
          <w:sz w:val="24"/>
          <w:szCs w:val="24"/>
          <w:lang w:val="pt-BR"/>
        </w:rPr>
        <w:t xml:space="preserve"> – mercado de capitais mais desenvolvido –</w:t>
      </w:r>
      <w:r w:rsidRPr="00A232C9">
        <w:rPr>
          <w:rFonts w:ascii="Times New Roman" w:hAnsi="Times New Roman"/>
          <w:sz w:val="24"/>
          <w:szCs w:val="24"/>
          <w:lang w:val="pt-BR"/>
        </w:rPr>
        <w:t xml:space="preserve"> e BM&amp;FBOVESPA foram próximos. Quanto a finalidade de divulgação do valor justo</w:t>
      </w:r>
      <w:r w:rsidR="00BE6274"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Botinha e Lemes (2016) </w:t>
      </w:r>
      <w:r w:rsidR="002F1EB6" w:rsidRPr="00A232C9">
        <w:rPr>
          <w:rFonts w:ascii="Times New Roman" w:hAnsi="Times New Roman"/>
          <w:sz w:val="24"/>
          <w:szCs w:val="24"/>
          <w:lang w:val="pt-BR"/>
        </w:rPr>
        <w:t xml:space="preserve">constataram </w:t>
      </w:r>
      <w:r w:rsidRPr="00A232C9">
        <w:rPr>
          <w:rFonts w:ascii="Times New Roman" w:hAnsi="Times New Roman"/>
          <w:sz w:val="24"/>
          <w:szCs w:val="24"/>
          <w:lang w:val="pt-BR"/>
        </w:rPr>
        <w:t xml:space="preserve">que 68% das empresas optantes </w:t>
      </w:r>
      <w:r w:rsidR="00F673D0">
        <w:rPr>
          <w:rFonts w:ascii="Times New Roman" w:hAnsi="Times New Roman"/>
          <w:sz w:val="24"/>
          <w:szCs w:val="24"/>
          <w:lang w:val="pt-BR"/>
        </w:rPr>
        <w:t>pelo método de custo respeitam à</w:t>
      </w:r>
      <w:r w:rsidRPr="00A232C9">
        <w:rPr>
          <w:rFonts w:ascii="Times New Roman" w:hAnsi="Times New Roman"/>
          <w:sz w:val="24"/>
          <w:szCs w:val="24"/>
          <w:lang w:val="pt-BR"/>
        </w:rPr>
        <w:t xml:space="preserve"> obrigação presente no CPC 28 (2009)</w:t>
      </w:r>
      <w:r w:rsidR="00BE6274" w:rsidRPr="00A232C9">
        <w:rPr>
          <w:rFonts w:ascii="Times New Roman" w:hAnsi="Times New Roman"/>
          <w:sz w:val="24"/>
          <w:szCs w:val="24"/>
          <w:lang w:val="pt-BR"/>
        </w:rPr>
        <w:t xml:space="preserve"> quanto ao </w:t>
      </w:r>
      <w:r w:rsidR="00BE6274" w:rsidRPr="00A232C9">
        <w:rPr>
          <w:rFonts w:ascii="Times New Roman" w:hAnsi="Times New Roman"/>
          <w:i/>
          <w:sz w:val="24"/>
          <w:szCs w:val="24"/>
          <w:lang w:val="pt-BR"/>
        </w:rPr>
        <w:t>disclosure</w:t>
      </w:r>
      <w:r w:rsidR="00BE6274" w:rsidRPr="00A232C9">
        <w:rPr>
          <w:rFonts w:ascii="Times New Roman" w:hAnsi="Times New Roman"/>
          <w:sz w:val="24"/>
          <w:szCs w:val="24"/>
          <w:lang w:val="pt-BR"/>
        </w:rPr>
        <w:t xml:space="preserve"> contábil das </w:t>
      </w:r>
      <w:r w:rsidR="002E6B3A">
        <w:rPr>
          <w:rFonts w:ascii="Times New Roman" w:hAnsi="Times New Roman"/>
          <w:sz w:val="24"/>
          <w:szCs w:val="24"/>
          <w:lang w:val="pt-BR"/>
        </w:rPr>
        <w:t>PPI</w:t>
      </w:r>
      <w:r w:rsidR="00BE6274" w:rsidRPr="00A232C9">
        <w:rPr>
          <w:rFonts w:ascii="Times New Roman" w:hAnsi="Times New Roman"/>
          <w:sz w:val="24"/>
          <w:szCs w:val="24"/>
          <w:lang w:val="pt-BR"/>
        </w:rPr>
        <w:t xml:space="preserve">, porém o cenário das duas bolsas de valores apresentou-se distinto. Enquanto </w:t>
      </w:r>
      <w:r w:rsidR="00802BCF">
        <w:rPr>
          <w:rFonts w:ascii="Times New Roman" w:hAnsi="Times New Roman"/>
          <w:sz w:val="24"/>
          <w:szCs w:val="24"/>
          <w:lang w:val="pt-BR"/>
        </w:rPr>
        <w:t xml:space="preserve">que </w:t>
      </w:r>
      <w:r w:rsidR="00BE6274" w:rsidRPr="00A232C9">
        <w:rPr>
          <w:rFonts w:ascii="Times New Roman" w:hAnsi="Times New Roman"/>
          <w:sz w:val="24"/>
          <w:szCs w:val="24"/>
          <w:lang w:val="pt-BR"/>
        </w:rPr>
        <w:t xml:space="preserve">na NYSE 86% das </w:t>
      </w:r>
      <w:r w:rsidR="00BE6274" w:rsidRPr="00A232C9">
        <w:rPr>
          <w:rFonts w:ascii="Times New Roman" w:hAnsi="Times New Roman"/>
          <w:sz w:val="24"/>
          <w:szCs w:val="24"/>
          <w:lang w:val="pt-BR"/>
        </w:rPr>
        <w:lastRenderedPageBreak/>
        <w:t xml:space="preserve">empresas divulgaram o valor justo, na BM&amp;FBOVESPA apenas 55% das empresas. </w:t>
      </w:r>
      <w:r w:rsidRPr="00A232C9">
        <w:rPr>
          <w:rFonts w:ascii="Times New Roman" w:hAnsi="Times New Roman"/>
          <w:sz w:val="24"/>
          <w:szCs w:val="24"/>
          <w:lang w:val="pt-BR"/>
        </w:rPr>
        <w:t>Além disso, o estudo contribui</w:t>
      </w:r>
      <w:r w:rsidR="00DB0D07" w:rsidRPr="00A232C9">
        <w:rPr>
          <w:rFonts w:ascii="Times New Roman" w:hAnsi="Times New Roman"/>
          <w:sz w:val="24"/>
          <w:szCs w:val="24"/>
          <w:lang w:val="pt-BR"/>
        </w:rPr>
        <w:t xml:space="preserve">u para a temática </w:t>
      </w:r>
      <w:r w:rsidR="00B8417A" w:rsidRPr="00A232C9">
        <w:rPr>
          <w:rFonts w:ascii="Times New Roman" w:hAnsi="Times New Roman"/>
          <w:sz w:val="24"/>
          <w:szCs w:val="24"/>
          <w:lang w:val="pt-BR"/>
        </w:rPr>
        <w:t xml:space="preserve">por meio de </w:t>
      </w:r>
      <w:r w:rsidRPr="00A232C9">
        <w:rPr>
          <w:rFonts w:ascii="Times New Roman" w:hAnsi="Times New Roman"/>
          <w:sz w:val="24"/>
          <w:szCs w:val="24"/>
          <w:lang w:val="pt-BR"/>
        </w:rPr>
        <w:t>informações acerca da Teoria Positiva da Contabilidade de Watts e Zimmerman (1986) e da Teoria da Agência.</w:t>
      </w:r>
    </w:p>
    <w:p w14:paraId="6EBEBF6B" w14:textId="710B84FA" w:rsidR="007F2D10" w:rsidRDefault="00BA3DF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7F2D10" w:rsidRPr="00A232C9">
        <w:rPr>
          <w:rFonts w:ascii="Times New Roman" w:hAnsi="Times New Roman"/>
          <w:sz w:val="24"/>
          <w:szCs w:val="24"/>
          <w:lang w:val="pt-BR"/>
        </w:rPr>
        <w:t>A</w:t>
      </w:r>
      <w:r w:rsidR="00E50310" w:rsidRPr="00A232C9">
        <w:rPr>
          <w:rFonts w:ascii="Times New Roman" w:hAnsi="Times New Roman"/>
          <w:sz w:val="24"/>
          <w:szCs w:val="24"/>
          <w:lang w:val="pt-BR"/>
        </w:rPr>
        <w:t>s pesquisas nacionais</w:t>
      </w:r>
      <w:r w:rsidR="007F2D10" w:rsidRPr="00A232C9">
        <w:rPr>
          <w:rFonts w:ascii="Times New Roman" w:hAnsi="Times New Roman"/>
          <w:sz w:val="24"/>
          <w:szCs w:val="24"/>
          <w:lang w:val="pt-BR"/>
        </w:rPr>
        <w:t xml:space="preserve"> acerca das </w:t>
      </w:r>
      <w:r w:rsidR="00F01E2F" w:rsidRPr="00A232C9">
        <w:rPr>
          <w:rFonts w:ascii="Times New Roman" w:hAnsi="Times New Roman"/>
          <w:sz w:val="24"/>
          <w:szCs w:val="24"/>
          <w:lang w:val="pt-BR"/>
        </w:rPr>
        <w:t>PPI</w:t>
      </w:r>
      <w:r w:rsidR="007F2D10" w:rsidRPr="00A232C9">
        <w:rPr>
          <w:rFonts w:ascii="Times New Roman" w:hAnsi="Times New Roman"/>
          <w:sz w:val="24"/>
          <w:szCs w:val="24"/>
          <w:lang w:val="pt-BR"/>
        </w:rPr>
        <w:t xml:space="preserve"> preocupa</w:t>
      </w:r>
      <w:r w:rsidR="00E50310" w:rsidRPr="00A232C9">
        <w:rPr>
          <w:rFonts w:ascii="Times New Roman" w:hAnsi="Times New Roman"/>
          <w:sz w:val="24"/>
          <w:szCs w:val="24"/>
          <w:lang w:val="pt-BR"/>
        </w:rPr>
        <w:t>m</w:t>
      </w:r>
      <w:r w:rsidR="007F2D10" w:rsidRPr="00A232C9">
        <w:rPr>
          <w:rFonts w:ascii="Times New Roman" w:hAnsi="Times New Roman"/>
          <w:sz w:val="24"/>
          <w:szCs w:val="24"/>
          <w:lang w:val="pt-BR"/>
        </w:rPr>
        <w:t xml:space="preserve">-se, principalmente, na investigação das variáveis que podem explicar a escolha contábil entre o método de custo ou de valor justo na mensuração após o reconhecimento inicial. </w:t>
      </w:r>
      <w:r w:rsidR="002741D1" w:rsidRPr="00A232C9">
        <w:rPr>
          <w:rFonts w:ascii="Times New Roman" w:hAnsi="Times New Roman"/>
          <w:sz w:val="24"/>
          <w:szCs w:val="24"/>
          <w:lang w:val="pt-BR"/>
        </w:rPr>
        <w:t>É</w:t>
      </w:r>
      <w:r w:rsidR="007F2D10" w:rsidRPr="00A232C9">
        <w:rPr>
          <w:rFonts w:ascii="Times New Roman" w:hAnsi="Times New Roman"/>
          <w:sz w:val="24"/>
          <w:szCs w:val="24"/>
          <w:lang w:val="pt-BR"/>
        </w:rPr>
        <w:t xml:space="preserve"> possível observar que poucas</w:t>
      </w:r>
      <w:r w:rsidR="0016432C" w:rsidRPr="00A232C9">
        <w:rPr>
          <w:rFonts w:ascii="Times New Roman" w:hAnsi="Times New Roman"/>
          <w:sz w:val="24"/>
          <w:szCs w:val="24"/>
          <w:lang w:val="pt-BR"/>
        </w:rPr>
        <w:t xml:space="preserve"> aplicaram índices de comparabilidade</w:t>
      </w:r>
      <w:r w:rsidR="00D474D8" w:rsidRPr="00A232C9">
        <w:rPr>
          <w:rFonts w:ascii="Times New Roman" w:hAnsi="Times New Roman"/>
          <w:sz w:val="24"/>
          <w:szCs w:val="24"/>
          <w:lang w:val="pt-BR"/>
        </w:rPr>
        <w:t xml:space="preserve">, </w:t>
      </w:r>
      <w:r w:rsidR="002741D1" w:rsidRPr="00A232C9">
        <w:rPr>
          <w:rFonts w:ascii="Times New Roman" w:hAnsi="Times New Roman"/>
          <w:sz w:val="24"/>
          <w:szCs w:val="24"/>
          <w:lang w:val="pt-BR"/>
        </w:rPr>
        <w:t>revelando</w:t>
      </w:r>
      <w:r w:rsidR="00D474D8" w:rsidRPr="00A232C9">
        <w:rPr>
          <w:rFonts w:ascii="Times New Roman" w:hAnsi="Times New Roman"/>
          <w:sz w:val="24"/>
          <w:szCs w:val="24"/>
          <w:lang w:val="pt-BR"/>
        </w:rPr>
        <w:t xml:space="preserve"> a existência de uma lacuna </w:t>
      </w:r>
      <w:r w:rsidR="00A600DD" w:rsidRPr="00A232C9">
        <w:rPr>
          <w:rFonts w:ascii="Times New Roman" w:hAnsi="Times New Roman"/>
          <w:sz w:val="24"/>
          <w:szCs w:val="24"/>
          <w:lang w:val="pt-BR"/>
        </w:rPr>
        <w:t>n</w:t>
      </w:r>
      <w:r w:rsidR="00D474D8" w:rsidRPr="00A232C9">
        <w:rPr>
          <w:rFonts w:ascii="Times New Roman" w:hAnsi="Times New Roman"/>
          <w:sz w:val="24"/>
          <w:szCs w:val="24"/>
          <w:lang w:val="pt-BR"/>
        </w:rPr>
        <w:t>o tema.</w:t>
      </w:r>
      <w:r w:rsidR="002757DC" w:rsidRPr="00A232C9">
        <w:rPr>
          <w:rFonts w:ascii="Times New Roman" w:hAnsi="Times New Roman"/>
          <w:sz w:val="24"/>
          <w:szCs w:val="24"/>
          <w:lang w:val="pt-BR"/>
        </w:rPr>
        <w:t xml:space="preserve"> Desta forma, </w:t>
      </w:r>
      <w:r w:rsidR="00B8577D" w:rsidRPr="00A232C9">
        <w:rPr>
          <w:rFonts w:ascii="Times New Roman" w:hAnsi="Times New Roman"/>
          <w:sz w:val="24"/>
          <w:szCs w:val="24"/>
          <w:lang w:val="pt-BR"/>
        </w:rPr>
        <w:t>tem</w:t>
      </w:r>
      <w:r w:rsidR="00D3519E" w:rsidRPr="00A232C9">
        <w:rPr>
          <w:rFonts w:ascii="Times New Roman" w:hAnsi="Times New Roman"/>
          <w:sz w:val="24"/>
          <w:szCs w:val="24"/>
          <w:lang w:val="pt-BR"/>
        </w:rPr>
        <w:t>-se</w:t>
      </w:r>
      <w:r w:rsidR="002757DC" w:rsidRPr="00A232C9">
        <w:rPr>
          <w:rFonts w:ascii="Times New Roman" w:hAnsi="Times New Roman"/>
          <w:sz w:val="24"/>
          <w:szCs w:val="24"/>
          <w:lang w:val="pt-BR"/>
        </w:rPr>
        <w:t xml:space="preserve"> a justificativa em investigar </w:t>
      </w:r>
      <w:r w:rsidR="000311DF" w:rsidRPr="00A232C9">
        <w:rPr>
          <w:rFonts w:ascii="Times New Roman" w:hAnsi="Times New Roman"/>
          <w:sz w:val="24"/>
          <w:szCs w:val="24"/>
          <w:lang w:val="pt-BR"/>
        </w:rPr>
        <w:t xml:space="preserve">a </w:t>
      </w:r>
      <w:r w:rsidR="002757DC" w:rsidRPr="00A232C9">
        <w:rPr>
          <w:rFonts w:ascii="Times New Roman" w:hAnsi="Times New Roman"/>
          <w:sz w:val="24"/>
          <w:szCs w:val="24"/>
          <w:lang w:val="pt-BR"/>
        </w:rPr>
        <w:t>comparabilidade da mensuração das</w:t>
      </w:r>
      <w:r w:rsidR="000311DF" w:rsidRPr="00A232C9">
        <w:rPr>
          <w:rFonts w:ascii="Times New Roman" w:hAnsi="Times New Roman"/>
          <w:sz w:val="24"/>
          <w:szCs w:val="24"/>
          <w:lang w:val="pt-BR"/>
        </w:rPr>
        <w:t xml:space="preserve"> </w:t>
      </w:r>
      <w:r w:rsidR="002E6B3A">
        <w:rPr>
          <w:rFonts w:ascii="Times New Roman" w:hAnsi="Times New Roman"/>
          <w:sz w:val="24"/>
          <w:szCs w:val="24"/>
          <w:lang w:val="pt-BR"/>
        </w:rPr>
        <w:t>PPI</w:t>
      </w:r>
      <w:r w:rsidR="000311DF" w:rsidRPr="00A232C9">
        <w:rPr>
          <w:rFonts w:ascii="Times New Roman" w:hAnsi="Times New Roman"/>
          <w:sz w:val="24"/>
          <w:szCs w:val="24"/>
          <w:lang w:val="pt-BR"/>
        </w:rPr>
        <w:t xml:space="preserve"> que influencia a relevância de informações contábeis </w:t>
      </w:r>
      <w:r w:rsidR="00AD3454" w:rsidRPr="00A232C9">
        <w:rPr>
          <w:rFonts w:ascii="Times New Roman" w:hAnsi="Times New Roman"/>
          <w:sz w:val="24"/>
          <w:szCs w:val="24"/>
          <w:lang w:val="pt-BR"/>
        </w:rPr>
        <w:t xml:space="preserve">e </w:t>
      </w:r>
      <w:r w:rsidR="000311DF" w:rsidRPr="00A232C9">
        <w:rPr>
          <w:rFonts w:ascii="Times New Roman" w:hAnsi="Times New Roman"/>
          <w:sz w:val="24"/>
          <w:szCs w:val="24"/>
          <w:lang w:val="pt-BR"/>
        </w:rPr>
        <w:t>a tomada de decisão de usuários internos e externos.</w:t>
      </w:r>
    </w:p>
    <w:p w14:paraId="19F2EFF3" w14:textId="77777777" w:rsidR="008E7DAE" w:rsidRPr="00A232C9" w:rsidRDefault="008E7DAE" w:rsidP="008E7DAE">
      <w:pPr>
        <w:spacing w:after="0" w:line="240" w:lineRule="auto"/>
        <w:jc w:val="both"/>
        <w:rPr>
          <w:rFonts w:ascii="Times New Roman" w:hAnsi="Times New Roman"/>
          <w:sz w:val="24"/>
          <w:szCs w:val="24"/>
          <w:lang w:val="pt-BR"/>
        </w:rPr>
      </w:pPr>
    </w:p>
    <w:p w14:paraId="26C26E2C" w14:textId="77777777" w:rsidR="007F2490" w:rsidRPr="00A232C9" w:rsidRDefault="00813A18" w:rsidP="008E7DAE">
      <w:pPr>
        <w:pStyle w:val="PargrafodaLista"/>
        <w:numPr>
          <w:ilvl w:val="0"/>
          <w:numId w:val="4"/>
        </w:numPr>
        <w:spacing w:after="0"/>
        <w:rPr>
          <w:rFonts w:ascii="Times New Roman" w:hAnsi="Times New Roman"/>
          <w:b/>
          <w:sz w:val="24"/>
          <w:szCs w:val="24"/>
        </w:rPr>
      </w:pPr>
      <w:r w:rsidRPr="00A232C9">
        <w:rPr>
          <w:rFonts w:ascii="Times New Roman" w:hAnsi="Times New Roman"/>
          <w:b/>
          <w:sz w:val="24"/>
          <w:szCs w:val="24"/>
        </w:rPr>
        <w:t xml:space="preserve">PROCEDIMENTOS METODOLÓGICOS </w:t>
      </w:r>
    </w:p>
    <w:p w14:paraId="0C096308" w14:textId="60A4697D" w:rsidR="00C2775E" w:rsidRPr="00A232C9" w:rsidRDefault="00F44944"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6728C5" w:rsidRPr="00A232C9">
        <w:rPr>
          <w:rFonts w:ascii="Times New Roman" w:hAnsi="Times New Roman"/>
          <w:sz w:val="24"/>
          <w:szCs w:val="24"/>
          <w:lang w:val="pt-BR"/>
        </w:rPr>
        <w:t>O presente artigo</w:t>
      </w:r>
      <w:r w:rsidR="00C2775E" w:rsidRPr="00A232C9">
        <w:rPr>
          <w:rFonts w:ascii="Times New Roman" w:hAnsi="Times New Roman"/>
          <w:sz w:val="24"/>
          <w:szCs w:val="24"/>
          <w:lang w:val="pt-BR"/>
        </w:rPr>
        <w:t xml:space="preserve"> possui como característica uma classi</w:t>
      </w:r>
      <w:r w:rsidR="00DB0D07" w:rsidRPr="00A232C9">
        <w:rPr>
          <w:rFonts w:ascii="Times New Roman" w:hAnsi="Times New Roman"/>
          <w:sz w:val="24"/>
          <w:szCs w:val="24"/>
          <w:lang w:val="pt-BR"/>
        </w:rPr>
        <w:t xml:space="preserve">ficação metodológica descritiva porque </w:t>
      </w:r>
      <w:r w:rsidR="008E2A57" w:rsidRPr="00A232C9">
        <w:rPr>
          <w:rFonts w:ascii="Times New Roman" w:hAnsi="Times New Roman"/>
          <w:sz w:val="24"/>
          <w:szCs w:val="24"/>
          <w:lang w:val="pt-BR"/>
        </w:rPr>
        <w:t>estuda o comporta</w:t>
      </w:r>
      <w:r w:rsidR="00F01E2F" w:rsidRPr="00A232C9">
        <w:rPr>
          <w:rFonts w:ascii="Times New Roman" w:hAnsi="Times New Roman"/>
          <w:sz w:val="24"/>
          <w:szCs w:val="24"/>
          <w:lang w:val="pt-BR"/>
        </w:rPr>
        <w:t>mento das empresas com relação à</w:t>
      </w:r>
      <w:r w:rsidR="008E2A57" w:rsidRPr="00A232C9">
        <w:rPr>
          <w:rFonts w:ascii="Times New Roman" w:hAnsi="Times New Roman"/>
          <w:sz w:val="24"/>
          <w:szCs w:val="24"/>
          <w:lang w:val="pt-BR"/>
        </w:rPr>
        <w:t xml:space="preserve"> escolha entre os métodos de mensuração das </w:t>
      </w:r>
      <w:r w:rsidR="002E6B3A">
        <w:rPr>
          <w:rFonts w:ascii="Times New Roman" w:hAnsi="Times New Roman"/>
          <w:sz w:val="24"/>
          <w:szCs w:val="24"/>
          <w:lang w:val="pt-BR"/>
        </w:rPr>
        <w:t>PPI</w:t>
      </w:r>
      <w:r w:rsidR="008E2A57" w:rsidRPr="00A232C9">
        <w:rPr>
          <w:rFonts w:ascii="Times New Roman" w:hAnsi="Times New Roman"/>
          <w:sz w:val="24"/>
          <w:szCs w:val="24"/>
          <w:lang w:val="pt-BR"/>
        </w:rPr>
        <w:t>. Desta forma,</w:t>
      </w:r>
      <w:r w:rsidR="00C2775E" w:rsidRPr="00A232C9">
        <w:rPr>
          <w:rFonts w:ascii="Times New Roman" w:hAnsi="Times New Roman"/>
          <w:sz w:val="24"/>
          <w:szCs w:val="24"/>
          <w:lang w:val="pt-BR"/>
        </w:rPr>
        <w:t xml:space="preserve"> as pesquisas descritivas procuram relatar </w:t>
      </w:r>
      <w:r w:rsidR="008E2A57" w:rsidRPr="00A232C9">
        <w:rPr>
          <w:rFonts w:ascii="Times New Roman" w:hAnsi="Times New Roman"/>
          <w:sz w:val="24"/>
          <w:szCs w:val="24"/>
          <w:lang w:val="pt-BR"/>
        </w:rPr>
        <w:t xml:space="preserve">aspectos </w:t>
      </w:r>
      <w:r w:rsidR="00C2775E" w:rsidRPr="00A232C9">
        <w:rPr>
          <w:rFonts w:ascii="Times New Roman" w:hAnsi="Times New Roman"/>
          <w:sz w:val="24"/>
          <w:szCs w:val="24"/>
          <w:lang w:val="pt-BR"/>
        </w:rPr>
        <w:t>de determinada população ou fenômeno e até mesmo estabelecer conexões entre as vari</w:t>
      </w:r>
      <w:r w:rsidR="00802BCF">
        <w:rPr>
          <w:rFonts w:ascii="Times New Roman" w:hAnsi="Times New Roman"/>
          <w:sz w:val="24"/>
          <w:szCs w:val="24"/>
          <w:lang w:val="pt-BR"/>
        </w:rPr>
        <w:t>áveis analisadas (GIL</w:t>
      </w:r>
      <w:r w:rsidR="008E2A57" w:rsidRPr="00A232C9">
        <w:rPr>
          <w:rFonts w:ascii="Times New Roman" w:hAnsi="Times New Roman"/>
          <w:sz w:val="24"/>
          <w:szCs w:val="24"/>
          <w:lang w:val="pt-BR"/>
        </w:rPr>
        <w:t>, 2008).</w:t>
      </w:r>
    </w:p>
    <w:p w14:paraId="3EB05F8A" w14:textId="2D1BFFF7" w:rsidR="007911A6" w:rsidRPr="00A232C9" w:rsidRDefault="00D8727B" w:rsidP="00A61FCD">
      <w:pPr>
        <w:spacing w:after="0" w:line="240" w:lineRule="auto"/>
        <w:jc w:val="both"/>
        <w:rPr>
          <w:rFonts w:ascii="Times New Roman" w:hAnsi="Times New Roman"/>
          <w:sz w:val="24"/>
          <w:szCs w:val="24"/>
          <w:lang w:val="pt-BR"/>
        </w:rPr>
      </w:pPr>
      <w:r w:rsidRPr="000D55C2">
        <w:rPr>
          <w:rFonts w:ascii="Times New Roman" w:hAnsi="Times New Roman"/>
          <w:sz w:val="24"/>
          <w:szCs w:val="24"/>
          <w:lang w:val="pt-BR"/>
        </w:rPr>
        <w:tab/>
      </w:r>
      <w:r w:rsidR="008E2A57" w:rsidRPr="000D55C2">
        <w:rPr>
          <w:rFonts w:ascii="Times New Roman" w:hAnsi="Times New Roman"/>
          <w:sz w:val="24"/>
          <w:szCs w:val="24"/>
          <w:lang w:val="pt-BR"/>
        </w:rPr>
        <w:t xml:space="preserve">Quanto aos procedimentos, a pesquisa representa um levantamento </w:t>
      </w:r>
      <w:r w:rsidR="007911A6" w:rsidRPr="000D55C2">
        <w:rPr>
          <w:rFonts w:ascii="Times New Roman" w:hAnsi="Times New Roman"/>
          <w:sz w:val="24"/>
          <w:szCs w:val="24"/>
          <w:lang w:val="pt-BR"/>
        </w:rPr>
        <w:t>(</w:t>
      </w:r>
      <w:r w:rsidR="008E2A57" w:rsidRPr="000D55C2">
        <w:rPr>
          <w:rFonts w:ascii="Times New Roman" w:hAnsi="Times New Roman"/>
          <w:i/>
          <w:sz w:val="24"/>
          <w:szCs w:val="24"/>
          <w:lang w:val="pt-BR"/>
        </w:rPr>
        <w:t>survey</w:t>
      </w:r>
      <w:r w:rsidR="007911A6" w:rsidRPr="000D55C2">
        <w:rPr>
          <w:rFonts w:ascii="Times New Roman" w:hAnsi="Times New Roman"/>
          <w:sz w:val="24"/>
          <w:szCs w:val="24"/>
          <w:lang w:val="pt-BR"/>
        </w:rPr>
        <w:t xml:space="preserve">). De acordo com Martins e Theóphilo (2009, p. 60), “os levantamentos são próprios para os casos em que o pesquisador deseja responder a questões acerca da distribuição de uma variável ou das relações entre características de pessoas ou grupos”. </w:t>
      </w:r>
      <w:r w:rsidR="00F44944" w:rsidRPr="000D55C2">
        <w:rPr>
          <w:rFonts w:ascii="Times New Roman" w:hAnsi="Times New Roman"/>
          <w:sz w:val="24"/>
          <w:szCs w:val="24"/>
          <w:lang w:val="pt-BR"/>
        </w:rPr>
        <w:tab/>
      </w:r>
      <w:r w:rsidR="00DB0D07" w:rsidRPr="000D55C2">
        <w:rPr>
          <w:rFonts w:ascii="Times New Roman" w:hAnsi="Times New Roman"/>
          <w:sz w:val="24"/>
          <w:szCs w:val="24"/>
          <w:lang w:val="pt-BR"/>
        </w:rPr>
        <w:t>A</w:t>
      </w:r>
      <w:r w:rsidR="007911A6" w:rsidRPr="000D55C2">
        <w:rPr>
          <w:rFonts w:ascii="Times New Roman" w:hAnsi="Times New Roman"/>
          <w:sz w:val="24"/>
          <w:szCs w:val="24"/>
          <w:lang w:val="pt-BR"/>
        </w:rPr>
        <w:t xml:space="preserve"> abordagem metodológica identifica-se como quali-quantitativa posto que apresenta </w:t>
      </w:r>
      <w:r w:rsidR="007911A6" w:rsidRPr="00A232C9">
        <w:rPr>
          <w:rFonts w:ascii="Times New Roman" w:hAnsi="Times New Roman"/>
          <w:sz w:val="24"/>
          <w:szCs w:val="24"/>
          <w:lang w:val="pt-BR"/>
        </w:rPr>
        <w:t>dados quantificados e analisados por meio de técnicas estatísticas e outros que representam descrições não suscetíveis de mensuração (M</w:t>
      </w:r>
      <w:r w:rsidR="00D93641" w:rsidRPr="00A232C9">
        <w:rPr>
          <w:rFonts w:ascii="Times New Roman" w:hAnsi="Times New Roman"/>
          <w:sz w:val="24"/>
          <w:szCs w:val="24"/>
          <w:lang w:val="pt-BR"/>
        </w:rPr>
        <w:t>artins &amp;</w:t>
      </w:r>
      <w:r w:rsidR="007911A6" w:rsidRPr="00A232C9">
        <w:rPr>
          <w:rFonts w:ascii="Times New Roman" w:hAnsi="Times New Roman"/>
          <w:sz w:val="24"/>
          <w:szCs w:val="24"/>
          <w:lang w:val="pt-BR"/>
        </w:rPr>
        <w:t xml:space="preserve"> T</w:t>
      </w:r>
      <w:r w:rsidR="00D93641" w:rsidRPr="00A232C9">
        <w:rPr>
          <w:rFonts w:ascii="Times New Roman" w:hAnsi="Times New Roman"/>
          <w:sz w:val="24"/>
          <w:szCs w:val="24"/>
          <w:lang w:val="pt-BR"/>
        </w:rPr>
        <w:t>heóphilo</w:t>
      </w:r>
      <w:r w:rsidR="007911A6" w:rsidRPr="00A232C9">
        <w:rPr>
          <w:rFonts w:ascii="Times New Roman" w:hAnsi="Times New Roman"/>
          <w:sz w:val="24"/>
          <w:szCs w:val="24"/>
          <w:lang w:val="pt-BR"/>
        </w:rPr>
        <w:t>, 2009).</w:t>
      </w:r>
      <w:r w:rsidR="00F44944" w:rsidRPr="00A232C9">
        <w:rPr>
          <w:rFonts w:ascii="Times New Roman" w:hAnsi="Times New Roman"/>
          <w:sz w:val="24"/>
          <w:szCs w:val="24"/>
          <w:lang w:val="pt-BR"/>
        </w:rPr>
        <w:t xml:space="preserve"> </w:t>
      </w:r>
    </w:p>
    <w:p w14:paraId="40721F58" w14:textId="00BCF702" w:rsidR="00B10D4A" w:rsidRPr="00A232C9" w:rsidRDefault="00F44944"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A população em estudo </w:t>
      </w:r>
      <w:r w:rsidR="00A61FCD">
        <w:rPr>
          <w:rFonts w:ascii="Times New Roman" w:hAnsi="Times New Roman"/>
          <w:sz w:val="24"/>
          <w:szCs w:val="24"/>
          <w:lang w:val="pt-BR"/>
        </w:rPr>
        <w:t>inclui</w:t>
      </w:r>
      <w:r w:rsidRPr="00A232C9">
        <w:rPr>
          <w:rFonts w:ascii="Times New Roman" w:hAnsi="Times New Roman"/>
          <w:sz w:val="24"/>
          <w:szCs w:val="24"/>
          <w:lang w:val="pt-BR"/>
        </w:rPr>
        <w:t xml:space="preserve"> </w:t>
      </w:r>
      <w:r w:rsidR="001B798E" w:rsidRPr="00A232C9">
        <w:rPr>
          <w:rFonts w:ascii="Times New Roman" w:hAnsi="Times New Roman"/>
          <w:sz w:val="24"/>
          <w:szCs w:val="24"/>
          <w:lang w:val="pt-BR"/>
        </w:rPr>
        <w:t xml:space="preserve">as </w:t>
      </w:r>
      <w:r w:rsidRPr="00A232C9">
        <w:rPr>
          <w:rFonts w:ascii="Times New Roman" w:hAnsi="Times New Roman"/>
          <w:sz w:val="24"/>
          <w:szCs w:val="24"/>
          <w:lang w:val="pt-BR"/>
        </w:rPr>
        <w:t xml:space="preserve">457 empresas abertas </w:t>
      </w:r>
      <w:r w:rsidR="00613972" w:rsidRPr="00A232C9">
        <w:rPr>
          <w:rFonts w:ascii="Times New Roman" w:hAnsi="Times New Roman"/>
          <w:sz w:val="24"/>
          <w:szCs w:val="24"/>
          <w:lang w:val="pt-BR"/>
        </w:rPr>
        <w:t xml:space="preserve">listadas </w:t>
      </w:r>
      <w:r w:rsidR="00B10D4A" w:rsidRPr="00A232C9">
        <w:rPr>
          <w:rFonts w:ascii="Times New Roman" w:hAnsi="Times New Roman"/>
          <w:sz w:val="24"/>
          <w:szCs w:val="24"/>
          <w:lang w:val="pt-BR"/>
        </w:rPr>
        <w:t xml:space="preserve">na </w:t>
      </w:r>
      <w:r w:rsidR="00855CE4" w:rsidRPr="00A232C9">
        <w:rPr>
          <w:rFonts w:ascii="Times New Roman" w:hAnsi="Times New Roman"/>
          <w:sz w:val="24"/>
          <w:szCs w:val="24"/>
          <w:lang w:val="pt-BR"/>
        </w:rPr>
        <w:t xml:space="preserve">BM&amp;FBOVESPA </w:t>
      </w:r>
      <w:r w:rsidR="00B10D4A" w:rsidRPr="00A232C9">
        <w:rPr>
          <w:rFonts w:ascii="Times New Roman" w:hAnsi="Times New Roman"/>
          <w:sz w:val="24"/>
          <w:szCs w:val="24"/>
          <w:lang w:val="pt-BR"/>
        </w:rPr>
        <w:t xml:space="preserve">pertencentes a </w:t>
      </w:r>
      <w:r w:rsidR="00613972" w:rsidRPr="00A232C9">
        <w:rPr>
          <w:rFonts w:ascii="Times New Roman" w:hAnsi="Times New Roman"/>
          <w:sz w:val="24"/>
          <w:szCs w:val="24"/>
          <w:lang w:val="pt-BR"/>
        </w:rPr>
        <w:t>dez</w:t>
      </w:r>
      <w:r w:rsidR="00C14E24" w:rsidRPr="00A232C9">
        <w:rPr>
          <w:rFonts w:ascii="Times New Roman" w:hAnsi="Times New Roman"/>
          <w:sz w:val="24"/>
          <w:szCs w:val="24"/>
          <w:lang w:val="pt-BR"/>
        </w:rPr>
        <w:t xml:space="preserve"> </w:t>
      </w:r>
      <w:r w:rsidR="00B10D4A" w:rsidRPr="00A232C9">
        <w:rPr>
          <w:rFonts w:ascii="Times New Roman" w:hAnsi="Times New Roman"/>
          <w:sz w:val="24"/>
          <w:szCs w:val="24"/>
          <w:lang w:val="pt-BR"/>
        </w:rPr>
        <w:t>setores distintos. É importante destacar que foram excluídas aquelas que não apresentaram Demonstrações Financeiras Padronizadas (DFP) datadas de 31/12/2015</w:t>
      </w:r>
      <w:r w:rsidR="00F976F0" w:rsidRPr="00A232C9">
        <w:rPr>
          <w:rFonts w:ascii="Times New Roman" w:hAnsi="Times New Roman"/>
          <w:sz w:val="24"/>
          <w:szCs w:val="24"/>
          <w:lang w:val="pt-BR"/>
        </w:rPr>
        <w:t xml:space="preserve">, que </w:t>
      </w:r>
      <w:r w:rsidR="00482CEC">
        <w:rPr>
          <w:rFonts w:ascii="Times New Roman" w:hAnsi="Times New Roman"/>
          <w:sz w:val="24"/>
          <w:szCs w:val="24"/>
          <w:lang w:val="pt-BR"/>
        </w:rPr>
        <w:t>totalizaram</w:t>
      </w:r>
      <w:r w:rsidR="00F976F0" w:rsidRPr="00A232C9">
        <w:rPr>
          <w:rFonts w:ascii="Times New Roman" w:hAnsi="Times New Roman"/>
          <w:sz w:val="24"/>
          <w:szCs w:val="24"/>
          <w:lang w:val="pt-BR"/>
        </w:rPr>
        <w:t xml:space="preserve"> 13 empresas</w:t>
      </w:r>
      <w:r w:rsidR="00B10D4A" w:rsidRPr="00A232C9">
        <w:rPr>
          <w:rFonts w:ascii="Times New Roman" w:hAnsi="Times New Roman"/>
          <w:sz w:val="24"/>
          <w:szCs w:val="24"/>
          <w:lang w:val="pt-BR"/>
        </w:rPr>
        <w:t>.</w:t>
      </w:r>
      <w:r w:rsidR="00965A90">
        <w:rPr>
          <w:rFonts w:ascii="Times New Roman" w:hAnsi="Times New Roman"/>
          <w:sz w:val="24"/>
          <w:szCs w:val="24"/>
          <w:lang w:val="pt-BR"/>
        </w:rPr>
        <w:t xml:space="preserve"> </w:t>
      </w:r>
      <w:r w:rsidR="00B10D4A" w:rsidRPr="00A232C9">
        <w:rPr>
          <w:rFonts w:ascii="Times New Roman" w:hAnsi="Times New Roman"/>
          <w:sz w:val="24"/>
          <w:szCs w:val="24"/>
          <w:lang w:val="pt-BR"/>
        </w:rPr>
        <w:t xml:space="preserve">Para a definição da amostra, coletaram-se informações referentes à existência de </w:t>
      </w:r>
      <w:r w:rsidR="00F01E2F" w:rsidRPr="00A232C9">
        <w:rPr>
          <w:rFonts w:ascii="Times New Roman" w:hAnsi="Times New Roman"/>
          <w:sz w:val="24"/>
          <w:szCs w:val="24"/>
          <w:lang w:val="pt-BR"/>
        </w:rPr>
        <w:t>PPI</w:t>
      </w:r>
      <w:r w:rsidR="00B10D4A" w:rsidRPr="00A232C9">
        <w:rPr>
          <w:rFonts w:ascii="Times New Roman" w:hAnsi="Times New Roman"/>
          <w:sz w:val="24"/>
          <w:szCs w:val="24"/>
          <w:lang w:val="pt-BR"/>
        </w:rPr>
        <w:t xml:space="preserve"> nas DFP</w:t>
      </w:r>
      <w:r w:rsidR="009F584E">
        <w:rPr>
          <w:rFonts w:ascii="Times New Roman" w:hAnsi="Times New Roman"/>
          <w:sz w:val="24"/>
          <w:szCs w:val="24"/>
          <w:lang w:val="pt-BR"/>
        </w:rPr>
        <w:t xml:space="preserve"> </w:t>
      </w:r>
      <w:r w:rsidR="00032597">
        <w:rPr>
          <w:rFonts w:ascii="Times New Roman" w:hAnsi="Times New Roman"/>
          <w:sz w:val="24"/>
          <w:szCs w:val="24"/>
          <w:lang w:val="pt-BR"/>
        </w:rPr>
        <w:t xml:space="preserve">e </w:t>
      </w:r>
      <w:r w:rsidR="009F584E">
        <w:rPr>
          <w:rFonts w:ascii="Times New Roman" w:hAnsi="Times New Roman"/>
          <w:sz w:val="24"/>
          <w:szCs w:val="24"/>
          <w:lang w:val="pt-BR"/>
        </w:rPr>
        <w:t>nas Notas Explicativas (NE</w:t>
      </w:r>
      <w:r w:rsidR="00B10D4A" w:rsidRPr="00A232C9">
        <w:rPr>
          <w:rFonts w:ascii="Times New Roman" w:hAnsi="Times New Roman"/>
          <w:sz w:val="24"/>
          <w:szCs w:val="24"/>
          <w:lang w:val="pt-BR"/>
        </w:rPr>
        <w:t xml:space="preserve">) e foram selecionadas as empresas que apresentaram saldos </w:t>
      </w:r>
      <w:r w:rsidR="00032597">
        <w:rPr>
          <w:rFonts w:ascii="Times New Roman" w:hAnsi="Times New Roman"/>
          <w:sz w:val="24"/>
          <w:szCs w:val="24"/>
          <w:lang w:val="pt-BR"/>
        </w:rPr>
        <w:t xml:space="preserve">para estas propriedades </w:t>
      </w:r>
      <w:r w:rsidR="00B10D4A" w:rsidRPr="00A232C9">
        <w:rPr>
          <w:rFonts w:ascii="Times New Roman" w:hAnsi="Times New Roman"/>
          <w:sz w:val="24"/>
          <w:szCs w:val="24"/>
          <w:lang w:val="pt-BR"/>
        </w:rPr>
        <w:t>no exercício social de 2015.</w:t>
      </w:r>
    </w:p>
    <w:p w14:paraId="75294D54" w14:textId="67102F48" w:rsidR="00C84C7E" w:rsidRDefault="00C84C7E"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A Tabela </w:t>
      </w:r>
      <w:r w:rsidR="007A72BD">
        <w:rPr>
          <w:rFonts w:ascii="Times New Roman" w:hAnsi="Times New Roman"/>
          <w:sz w:val="24"/>
          <w:szCs w:val="24"/>
          <w:lang w:val="pt-BR"/>
        </w:rPr>
        <w:t>1</w:t>
      </w:r>
      <w:r w:rsidRPr="00A232C9">
        <w:rPr>
          <w:rFonts w:ascii="Times New Roman" w:hAnsi="Times New Roman"/>
          <w:sz w:val="24"/>
          <w:szCs w:val="24"/>
          <w:lang w:val="pt-BR"/>
        </w:rPr>
        <w:t xml:space="preserve"> apresenta o número total de empresas por setor listadas na BM&amp;FBOVESPA e a quantidade de empresas que possuem e não possuem saldo para as P</w:t>
      </w:r>
      <w:r w:rsidR="00532026" w:rsidRPr="00A232C9">
        <w:rPr>
          <w:rFonts w:ascii="Times New Roman" w:hAnsi="Times New Roman"/>
          <w:sz w:val="24"/>
          <w:szCs w:val="24"/>
          <w:lang w:val="pt-BR"/>
        </w:rPr>
        <w:t>P</w:t>
      </w:r>
      <w:r w:rsidRPr="00A232C9">
        <w:rPr>
          <w:rFonts w:ascii="Times New Roman" w:hAnsi="Times New Roman"/>
          <w:sz w:val="24"/>
          <w:szCs w:val="24"/>
          <w:lang w:val="pt-BR"/>
        </w:rPr>
        <w:t xml:space="preserve">I no ano de 2015. Desta forma, conclui-se que de uma população de 457 empresas, a amostra do estudo é composta por 91 empresas dos </w:t>
      </w:r>
      <w:r w:rsidR="00613972" w:rsidRPr="00A232C9">
        <w:rPr>
          <w:rFonts w:ascii="Times New Roman" w:hAnsi="Times New Roman"/>
          <w:sz w:val="24"/>
          <w:szCs w:val="24"/>
          <w:lang w:val="pt-BR"/>
        </w:rPr>
        <w:t>dez</w:t>
      </w:r>
      <w:r w:rsidR="007201A1" w:rsidRPr="00A232C9">
        <w:rPr>
          <w:rFonts w:ascii="Times New Roman" w:hAnsi="Times New Roman"/>
          <w:sz w:val="24"/>
          <w:szCs w:val="24"/>
          <w:lang w:val="pt-BR"/>
        </w:rPr>
        <w:t xml:space="preserve"> </w:t>
      </w:r>
      <w:r w:rsidRPr="00A232C9">
        <w:rPr>
          <w:rFonts w:ascii="Times New Roman" w:hAnsi="Times New Roman"/>
          <w:sz w:val="24"/>
          <w:szCs w:val="24"/>
          <w:lang w:val="pt-BR"/>
        </w:rPr>
        <w:t>setores distintos listados. Além disso, verifica-se que a amostra representa 20% da população e que o setor com maior porcentagem de empresas com saldo em P</w:t>
      </w:r>
      <w:r w:rsidR="00532026" w:rsidRPr="00A232C9">
        <w:rPr>
          <w:rFonts w:ascii="Times New Roman" w:hAnsi="Times New Roman"/>
          <w:sz w:val="24"/>
          <w:szCs w:val="24"/>
          <w:lang w:val="pt-BR"/>
        </w:rPr>
        <w:t>P</w:t>
      </w:r>
      <w:r w:rsidRPr="00A232C9">
        <w:rPr>
          <w:rFonts w:ascii="Times New Roman" w:hAnsi="Times New Roman"/>
          <w:sz w:val="24"/>
          <w:szCs w:val="24"/>
          <w:lang w:val="pt-BR"/>
        </w:rPr>
        <w:t>I é o de Consumo Não Cíclico.</w:t>
      </w:r>
    </w:p>
    <w:p w14:paraId="4BA1A959" w14:textId="77777777" w:rsidR="004F54B0" w:rsidRPr="00A065E0" w:rsidRDefault="004F54B0" w:rsidP="008E7DAE">
      <w:pPr>
        <w:spacing w:after="0" w:line="240" w:lineRule="auto"/>
        <w:jc w:val="both"/>
        <w:rPr>
          <w:rFonts w:ascii="Times New Roman" w:hAnsi="Times New Roman"/>
          <w:sz w:val="20"/>
          <w:szCs w:val="20"/>
          <w:lang w:val="pt-BR"/>
        </w:rPr>
      </w:pPr>
    </w:p>
    <w:p w14:paraId="4C8891F7" w14:textId="77777777" w:rsidR="000501EE" w:rsidRPr="00A232C9" w:rsidRDefault="000501EE" w:rsidP="008E7DAE">
      <w:pPr>
        <w:pStyle w:val="Legenda"/>
        <w:keepNext/>
        <w:spacing w:after="0"/>
        <w:jc w:val="center"/>
        <w:rPr>
          <w:rFonts w:ascii="Times New Roman" w:hAnsi="Times New Roman"/>
          <w:b w:val="0"/>
          <w:color w:val="auto"/>
          <w:sz w:val="20"/>
          <w:szCs w:val="20"/>
        </w:rPr>
      </w:pPr>
      <w:r w:rsidRPr="00A232C9">
        <w:rPr>
          <w:rFonts w:ascii="Times New Roman" w:hAnsi="Times New Roman"/>
          <w:b w:val="0"/>
          <w:color w:val="auto"/>
          <w:sz w:val="20"/>
          <w:szCs w:val="20"/>
        </w:rPr>
        <w:t xml:space="preserve">Tabela </w:t>
      </w:r>
      <w:r w:rsidRPr="00A232C9">
        <w:rPr>
          <w:rFonts w:ascii="Times New Roman" w:hAnsi="Times New Roman"/>
          <w:b w:val="0"/>
          <w:color w:val="auto"/>
          <w:sz w:val="20"/>
          <w:szCs w:val="20"/>
        </w:rPr>
        <w:fldChar w:fldCharType="begin"/>
      </w:r>
      <w:r w:rsidRPr="00A232C9">
        <w:rPr>
          <w:rFonts w:ascii="Times New Roman" w:hAnsi="Times New Roman"/>
          <w:b w:val="0"/>
          <w:color w:val="auto"/>
          <w:sz w:val="20"/>
          <w:szCs w:val="20"/>
        </w:rPr>
        <w:instrText xml:space="preserve"> SEQ Tabela \* ARABIC </w:instrText>
      </w:r>
      <w:r w:rsidRPr="00A232C9">
        <w:rPr>
          <w:rFonts w:ascii="Times New Roman" w:hAnsi="Times New Roman"/>
          <w:b w:val="0"/>
          <w:color w:val="auto"/>
          <w:sz w:val="20"/>
          <w:szCs w:val="20"/>
        </w:rPr>
        <w:fldChar w:fldCharType="separate"/>
      </w:r>
      <w:r w:rsidR="00AA2A72">
        <w:rPr>
          <w:rFonts w:ascii="Times New Roman" w:hAnsi="Times New Roman"/>
          <w:b w:val="0"/>
          <w:color w:val="auto"/>
          <w:sz w:val="20"/>
          <w:szCs w:val="20"/>
        </w:rPr>
        <w:t>1</w:t>
      </w:r>
      <w:r w:rsidRPr="00A232C9">
        <w:rPr>
          <w:rFonts w:ascii="Times New Roman" w:hAnsi="Times New Roman"/>
          <w:b w:val="0"/>
          <w:color w:val="auto"/>
          <w:sz w:val="20"/>
          <w:szCs w:val="20"/>
        </w:rPr>
        <w:fldChar w:fldCharType="end"/>
      </w:r>
      <w:r w:rsidRPr="00A232C9">
        <w:rPr>
          <w:rFonts w:ascii="Times New Roman" w:hAnsi="Times New Roman"/>
          <w:b w:val="0"/>
          <w:color w:val="auto"/>
          <w:sz w:val="20"/>
          <w:szCs w:val="20"/>
        </w:rPr>
        <w:t xml:space="preserve"> - População e Amostra</w:t>
      </w:r>
    </w:p>
    <w:tbl>
      <w:tblPr>
        <w:tblW w:w="8867"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1"/>
        <w:gridCol w:w="691"/>
        <w:gridCol w:w="2101"/>
        <w:gridCol w:w="561"/>
        <w:gridCol w:w="2123"/>
        <w:gridCol w:w="540"/>
      </w:tblGrid>
      <w:tr w:rsidR="00193255" w:rsidRPr="00A232C9" w14:paraId="51FE5D63" w14:textId="77777777" w:rsidTr="007B4EFA">
        <w:trPr>
          <w:trHeight w:val="227"/>
          <w:jc w:val="center"/>
        </w:trPr>
        <w:tc>
          <w:tcPr>
            <w:tcW w:w="2851" w:type="dxa"/>
            <w:shd w:val="clear" w:color="000000" w:fill="DDD9C4"/>
            <w:vAlign w:val="center"/>
            <w:hideMark/>
          </w:tcPr>
          <w:p w14:paraId="2E5493B6" w14:textId="77777777" w:rsidR="002866A6" w:rsidRPr="00A232C9" w:rsidRDefault="00960085"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Setor</w:t>
            </w:r>
          </w:p>
        </w:tc>
        <w:tc>
          <w:tcPr>
            <w:tcW w:w="691" w:type="dxa"/>
            <w:shd w:val="clear" w:color="000000" w:fill="DDD9C4"/>
            <w:vAlign w:val="center"/>
            <w:hideMark/>
          </w:tcPr>
          <w:p w14:paraId="7DB384EE" w14:textId="005BBCF2" w:rsidR="002866A6" w:rsidRPr="00A232C9" w:rsidRDefault="007B4EFA"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OBS.</w:t>
            </w:r>
          </w:p>
        </w:tc>
        <w:tc>
          <w:tcPr>
            <w:tcW w:w="2101" w:type="dxa"/>
            <w:shd w:val="clear" w:color="000000" w:fill="DDD9C4"/>
            <w:vAlign w:val="center"/>
          </w:tcPr>
          <w:p w14:paraId="6AFF9A2A" w14:textId="77777777" w:rsidR="002866A6" w:rsidRPr="00A232C9" w:rsidRDefault="00A65B3E"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Nº E</w:t>
            </w:r>
            <w:r w:rsidR="00960085" w:rsidRPr="00A232C9">
              <w:rPr>
                <w:rFonts w:ascii="Times New Roman" w:eastAsia="Times New Roman" w:hAnsi="Times New Roman"/>
                <w:b/>
                <w:bCs/>
                <w:noProof w:val="0"/>
                <w:sz w:val="20"/>
                <w:szCs w:val="20"/>
                <w:lang w:val="pt-BR" w:eastAsia="pt-BR"/>
              </w:rPr>
              <w:t>mpresas sem PPI</w:t>
            </w:r>
          </w:p>
        </w:tc>
        <w:tc>
          <w:tcPr>
            <w:tcW w:w="561" w:type="dxa"/>
            <w:shd w:val="clear" w:color="000000" w:fill="DDD9C4"/>
            <w:vAlign w:val="center"/>
          </w:tcPr>
          <w:p w14:paraId="6ACA3943" w14:textId="77777777" w:rsidR="002866A6" w:rsidRPr="00A232C9" w:rsidRDefault="00960085"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 xml:space="preserve">% </w:t>
            </w:r>
          </w:p>
        </w:tc>
        <w:tc>
          <w:tcPr>
            <w:tcW w:w="2123" w:type="dxa"/>
            <w:shd w:val="clear" w:color="000000" w:fill="DDD9C4"/>
            <w:vAlign w:val="center"/>
            <w:hideMark/>
          </w:tcPr>
          <w:p w14:paraId="6B03B0DB" w14:textId="77777777" w:rsidR="002866A6" w:rsidRPr="00A232C9" w:rsidRDefault="00960085"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Nº</w:t>
            </w:r>
            <w:r w:rsidR="00A65B3E" w:rsidRPr="00A232C9">
              <w:rPr>
                <w:rFonts w:ascii="Times New Roman" w:eastAsia="Times New Roman" w:hAnsi="Times New Roman"/>
                <w:b/>
                <w:bCs/>
                <w:noProof w:val="0"/>
                <w:sz w:val="20"/>
                <w:szCs w:val="20"/>
                <w:lang w:val="pt-BR" w:eastAsia="pt-BR"/>
              </w:rPr>
              <w:t xml:space="preserve"> E</w:t>
            </w:r>
            <w:r w:rsidRPr="00A232C9">
              <w:rPr>
                <w:rFonts w:ascii="Times New Roman" w:eastAsia="Times New Roman" w:hAnsi="Times New Roman"/>
                <w:b/>
                <w:bCs/>
                <w:noProof w:val="0"/>
                <w:sz w:val="20"/>
                <w:szCs w:val="20"/>
                <w:lang w:val="pt-BR" w:eastAsia="pt-BR"/>
              </w:rPr>
              <w:t>mpresas com PPI</w:t>
            </w:r>
          </w:p>
        </w:tc>
        <w:tc>
          <w:tcPr>
            <w:tcW w:w="540" w:type="dxa"/>
            <w:shd w:val="clear" w:color="000000" w:fill="DDD9C4"/>
            <w:vAlign w:val="center"/>
            <w:hideMark/>
          </w:tcPr>
          <w:p w14:paraId="07A4A298"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w:t>
            </w:r>
          </w:p>
        </w:tc>
      </w:tr>
      <w:tr w:rsidR="00193255" w:rsidRPr="00A232C9" w14:paraId="6E0A6916" w14:textId="77777777" w:rsidTr="007B4EFA">
        <w:trPr>
          <w:trHeight w:val="227"/>
          <w:jc w:val="center"/>
        </w:trPr>
        <w:tc>
          <w:tcPr>
            <w:tcW w:w="2851" w:type="dxa"/>
            <w:shd w:val="clear" w:color="auto" w:fill="auto"/>
            <w:noWrap/>
            <w:vAlign w:val="center"/>
            <w:hideMark/>
          </w:tcPr>
          <w:p w14:paraId="26517356"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Bens Industriais</w:t>
            </w:r>
          </w:p>
        </w:tc>
        <w:tc>
          <w:tcPr>
            <w:tcW w:w="691" w:type="dxa"/>
            <w:shd w:val="clear" w:color="auto" w:fill="auto"/>
            <w:noWrap/>
            <w:vAlign w:val="center"/>
            <w:hideMark/>
          </w:tcPr>
          <w:p w14:paraId="1DC271F3"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76</w:t>
            </w:r>
          </w:p>
        </w:tc>
        <w:tc>
          <w:tcPr>
            <w:tcW w:w="2101" w:type="dxa"/>
            <w:vAlign w:val="center"/>
          </w:tcPr>
          <w:p w14:paraId="479A4A99"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65</w:t>
            </w:r>
          </w:p>
        </w:tc>
        <w:tc>
          <w:tcPr>
            <w:tcW w:w="561" w:type="dxa"/>
            <w:vAlign w:val="center"/>
          </w:tcPr>
          <w:p w14:paraId="052CA8D3"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86%</w:t>
            </w:r>
          </w:p>
        </w:tc>
        <w:tc>
          <w:tcPr>
            <w:tcW w:w="2123" w:type="dxa"/>
            <w:shd w:val="clear" w:color="auto" w:fill="auto"/>
            <w:noWrap/>
            <w:vAlign w:val="center"/>
            <w:hideMark/>
          </w:tcPr>
          <w:p w14:paraId="1D5566F1"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11</w:t>
            </w:r>
          </w:p>
        </w:tc>
        <w:tc>
          <w:tcPr>
            <w:tcW w:w="540" w:type="dxa"/>
            <w:shd w:val="clear" w:color="auto" w:fill="auto"/>
            <w:noWrap/>
            <w:vAlign w:val="center"/>
            <w:hideMark/>
          </w:tcPr>
          <w:p w14:paraId="705AFF8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14%</w:t>
            </w:r>
          </w:p>
        </w:tc>
      </w:tr>
      <w:tr w:rsidR="00193255" w:rsidRPr="00A232C9" w14:paraId="3BB1C6FE" w14:textId="77777777" w:rsidTr="007B4EFA">
        <w:trPr>
          <w:trHeight w:val="227"/>
          <w:jc w:val="center"/>
        </w:trPr>
        <w:tc>
          <w:tcPr>
            <w:tcW w:w="2851" w:type="dxa"/>
            <w:shd w:val="clear" w:color="auto" w:fill="auto"/>
            <w:noWrap/>
            <w:vAlign w:val="center"/>
            <w:hideMark/>
          </w:tcPr>
          <w:p w14:paraId="206E58E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Consumo Cíclico</w:t>
            </w:r>
          </w:p>
        </w:tc>
        <w:tc>
          <w:tcPr>
            <w:tcW w:w="691" w:type="dxa"/>
            <w:shd w:val="clear" w:color="auto" w:fill="auto"/>
            <w:noWrap/>
            <w:vAlign w:val="center"/>
            <w:hideMark/>
          </w:tcPr>
          <w:p w14:paraId="445606D0"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85</w:t>
            </w:r>
          </w:p>
        </w:tc>
        <w:tc>
          <w:tcPr>
            <w:tcW w:w="2101" w:type="dxa"/>
            <w:vAlign w:val="center"/>
          </w:tcPr>
          <w:p w14:paraId="3350326E"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65</w:t>
            </w:r>
          </w:p>
        </w:tc>
        <w:tc>
          <w:tcPr>
            <w:tcW w:w="561" w:type="dxa"/>
            <w:vAlign w:val="center"/>
          </w:tcPr>
          <w:p w14:paraId="26AB69C6"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76%</w:t>
            </w:r>
          </w:p>
        </w:tc>
        <w:tc>
          <w:tcPr>
            <w:tcW w:w="2123" w:type="dxa"/>
            <w:shd w:val="clear" w:color="auto" w:fill="auto"/>
            <w:noWrap/>
            <w:vAlign w:val="center"/>
            <w:hideMark/>
          </w:tcPr>
          <w:p w14:paraId="1905932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20</w:t>
            </w:r>
          </w:p>
        </w:tc>
        <w:tc>
          <w:tcPr>
            <w:tcW w:w="540" w:type="dxa"/>
            <w:shd w:val="clear" w:color="auto" w:fill="auto"/>
            <w:noWrap/>
            <w:vAlign w:val="center"/>
            <w:hideMark/>
          </w:tcPr>
          <w:p w14:paraId="05EBA1F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24%</w:t>
            </w:r>
          </w:p>
        </w:tc>
      </w:tr>
      <w:tr w:rsidR="00193255" w:rsidRPr="00A232C9" w14:paraId="6B0CF4FB" w14:textId="77777777" w:rsidTr="007B4EFA">
        <w:trPr>
          <w:trHeight w:val="227"/>
          <w:jc w:val="center"/>
        </w:trPr>
        <w:tc>
          <w:tcPr>
            <w:tcW w:w="2851" w:type="dxa"/>
            <w:shd w:val="clear" w:color="auto" w:fill="auto"/>
            <w:noWrap/>
            <w:vAlign w:val="center"/>
            <w:hideMark/>
          </w:tcPr>
          <w:p w14:paraId="2E2BC994"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Consumo Não Cíclico</w:t>
            </w:r>
          </w:p>
        </w:tc>
        <w:tc>
          <w:tcPr>
            <w:tcW w:w="691" w:type="dxa"/>
            <w:shd w:val="clear" w:color="auto" w:fill="auto"/>
            <w:noWrap/>
            <w:vAlign w:val="center"/>
            <w:hideMark/>
          </w:tcPr>
          <w:p w14:paraId="60E0FB4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20</w:t>
            </w:r>
          </w:p>
        </w:tc>
        <w:tc>
          <w:tcPr>
            <w:tcW w:w="2101" w:type="dxa"/>
            <w:vAlign w:val="center"/>
          </w:tcPr>
          <w:p w14:paraId="321565D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13</w:t>
            </w:r>
          </w:p>
        </w:tc>
        <w:tc>
          <w:tcPr>
            <w:tcW w:w="561" w:type="dxa"/>
            <w:vAlign w:val="center"/>
          </w:tcPr>
          <w:p w14:paraId="79F154D4"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65%</w:t>
            </w:r>
          </w:p>
        </w:tc>
        <w:tc>
          <w:tcPr>
            <w:tcW w:w="2123" w:type="dxa"/>
            <w:shd w:val="clear" w:color="auto" w:fill="auto"/>
            <w:noWrap/>
            <w:vAlign w:val="center"/>
            <w:hideMark/>
          </w:tcPr>
          <w:p w14:paraId="3A5033CA"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7</w:t>
            </w:r>
            <w:proofErr w:type="gramEnd"/>
          </w:p>
        </w:tc>
        <w:tc>
          <w:tcPr>
            <w:tcW w:w="540" w:type="dxa"/>
            <w:shd w:val="clear" w:color="auto" w:fill="auto"/>
            <w:noWrap/>
            <w:vAlign w:val="center"/>
            <w:hideMark/>
          </w:tcPr>
          <w:p w14:paraId="31DFA014"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35%</w:t>
            </w:r>
          </w:p>
        </w:tc>
      </w:tr>
      <w:tr w:rsidR="00193255" w:rsidRPr="00A232C9" w14:paraId="0E9898C8" w14:textId="77777777" w:rsidTr="007B4EFA">
        <w:trPr>
          <w:trHeight w:val="227"/>
          <w:jc w:val="center"/>
        </w:trPr>
        <w:tc>
          <w:tcPr>
            <w:tcW w:w="2851" w:type="dxa"/>
            <w:shd w:val="clear" w:color="auto" w:fill="auto"/>
            <w:noWrap/>
            <w:vAlign w:val="center"/>
            <w:hideMark/>
          </w:tcPr>
          <w:p w14:paraId="6B1F3997"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Financeiro e Outros</w:t>
            </w:r>
          </w:p>
        </w:tc>
        <w:tc>
          <w:tcPr>
            <w:tcW w:w="691" w:type="dxa"/>
            <w:shd w:val="clear" w:color="auto" w:fill="auto"/>
            <w:noWrap/>
            <w:vAlign w:val="center"/>
            <w:hideMark/>
          </w:tcPr>
          <w:p w14:paraId="27F1522A"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135</w:t>
            </w:r>
          </w:p>
        </w:tc>
        <w:tc>
          <w:tcPr>
            <w:tcW w:w="2101" w:type="dxa"/>
            <w:vAlign w:val="center"/>
          </w:tcPr>
          <w:p w14:paraId="6FE9D5E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109</w:t>
            </w:r>
          </w:p>
        </w:tc>
        <w:tc>
          <w:tcPr>
            <w:tcW w:w="561" w:type="dxa"/>
            <w:vAlign w:val="center"/>
          </w:tcPr>
          <w:p w14:paraId="78C08F34"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81%</w:t>
            </w:r>
          </w:p>
        </w:tc>
        <w:tc>
          <w:tcPr>
            <w:tcW w:w="2123" w:type="dxa"/>
            <w:shd w:val="clear" w:color="auto" w:fill="auto"/>
            <w:noWrap/>
            <w:vAlign w:val="center"/>
            <w:hideMark/>
          </w:tcPr>
          <w:p w14:paraId="0E42C165"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26</w:t>
            </w:r>
          </w:p>
        </w:tc>
        <w:tc>
          <w:tcPr>
            <w:tcW w:w="540" w:type="dxa"/>
            <w:shd w:val="clear" w:color="auto" w:fill="auto"/>
            <w:noWrap/>
            <w:vAlign w:val="center"/>
            <w:hideMark/>
          </w:tcPr>
          <w:p w14:paraId="3201EAC7"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19%</w:t>
            </w:r>
          </w:p>
        </w:tc>
      </w:tr>
      <w:tr w:rsidR="00193255" w:rsidRPr="00A232C9" w14:paraId="1CBF711D" w14:textId="77777777" w:rsidTr="007B4EFA">
        <w:trPr>
          <w:trHeight w:val="227"/>
          <w:jc w:val="center"/>
        </w:trPr>
        <w:tc>
          <w:tcPr>
            <w:tcW w:w="2851" w:type="dxa"/>
            <w:shd w:val="clear" w:color="auto" w:fill="auto"/>
            <w:noWrap/>
            <w:vAlign w:val="center"/>
            <w:hideMark/>
          </w:tcPr>
          <w:p w14:paraId="0F29E4E2"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Materiais Básicos</w:t>
            </w:r>
          </w:p>
        </w:tc>
        <w:tc>
          <w:tcPr>
            <w:tcW w:w="691" w:type="dxa"/>
            <w:shd w:val="clear" w:color="auto" w:fill="auto"/>
            <w:noWrap/>
            <w:vAlign w:val="center"/>
            <w:hideMark/>
          </w:tcPr>
          <w:p w14:paraId="553E7CB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34</w:t>
            </w:r>
          </w:p>
        </w:tc>
        <w:tc>
          <w:tcPr>
            <w:tcW w:w="2101" w:type="dxa"/>
            <w:vAlign w:val="center"/>
          </w:tcPr>
          <w:p w14:paraId="5943E879"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29</w:t>
            </w:r>
          </w:p>
        </w:tc>
        <w:tc>
          <w:tcPr>
            <w:tcW w:w="561" w:type="dxa"/>
            <w:vAlign w:val="center"/>
          </w:tcPr>
          <w:p w14:paraId="1D3A624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85%</w:t>
            </w:r>
          </w:p>
        </w:tc>
        <w:tc>
          <w:tcPr>
            <w:tcW w:w="2123" w:type="dxa"/>
            <w:shd w:val="clear" w:color="auto" w:fill="auto"/>
            <w:noWrap/>
            <w:vAlign w:val="center"/>
            <w:hideMark/>
          </w:tcPr>
          <w:p w14:paraId="63D9A625"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5</w:t>
            </w:r>
            <w:proofErr w:type="gramEnd"/>
          </w:p>
        </w:tc>
        <w:tc>
          <w:tcPr>
            <w:tcW w:w="540" w:type="dxa"/>
            <w:shd w:val="clear" w:color="auto" w:fill="auto"/>
            <w:noWrap/>
            <w:vAlign w:val="center"/>
            <w:hideMark/>
          </w:tcPr>
          <w:p w14:paraId="2FC7BD8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15%</w:t>
            </w:r>
          </w:p>
        </w:tc>
      </w:tr>
      <w:tr w:rsidR="00193255" w:rsidRPr="00A232C9" w14:paraId="16471661" w14:textId="77777777" w:rsidTr="007B4EFA">
        <w:trPr>
          <w:trHeight w:val="227"/>
          <w:jc w:val="center"/>
        </w:trPr>
        <w:tc>
          <w:tcPr>
            <w:tcW w:w="2851" w:type="dxa"/>
            <w:shd w:val="clear" w:color="auto" w:fill="auto"/>
            <w:noWrap/>
            <w:vAlign w:val="center"/>
            <w:hideMark/>
          </w:tcPr>
          <w:p w14:paraId="7763236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 xml:space="preserve">Petróleo, Gás e </w:t>
            </w:r>
            <w:proofErr w:type="gramStart"/>
            <w:r w:rsidRPr="00A232C9">
              <w:rPr>
                <w:rFonts w:ascii="Times New Roman" w:eastAsia="Times New Roman" w:hAnsi="Times New Roman"/>
                <w:noProof w:val="0"/>
                <w:sz w:val="20"/>
                <w:szCs w:val="20"/>
                <w:lang w:val="pt-BR" w:eastAsia="pt-BR"/>
              </w:rPr>
              <w:t>Biocombustíveis</w:t>
            </w:r>
            <w:proofErr w:type="gramEnd"/>
          </w:p>
        </w:tc>
        <w:tc>
          <w:tcPr>
            <w:tcW w:w="691" w:type="dxa"/>
            <w:shd w:val="clear" w:color="auto" w:fill="auto"/>
            <w:noWrap/>
            <w:vAlign w:val="center"/>
            <w:hideMark/>
          </w:tcPr>
          <w:p w14:paraId="3152E7C9"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11</w:t>
            </w:r>
          </w:p>
        </w:tc>
        <w:tc>
          <w:tcPr>
            <w:tcW w:w="2101" w:type="dxa"/>
            <w:vAlign w:val="center"/>
          </w:tcPr>
          <w:p w14:paraId="5492E61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9</w:t>
            </w:r>
            <w:proofErr w:type="gramEnd"/>
          </w:p>
        </w:tc>
        <w:tc>
          <w:tcPr>
            <w:tcW w:w="561" w:type="dxa"/>
            <w:vAlign w:val="center"/>
          </w:tcPr>
          <w:p w14:paraId="22927CB7"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82%</w:t>
            </w:r>
          </w:p>
        </w:tc>
        <w:tc>
          <w:tcPr>
            <w:tcW w:w="2123" w:type="dxa"/>
            <w:shd w:val="clear" w:color="auto" w:fill="auto"/>
            <w:noWrap/>
            <w:vAlign w:val="center"/>
            <w:hideMark/>
          </w:tcPr>
          <w:p w14:paraId="68C74953"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2</w:t>
            </w:r>
            <w:proofErr w:type="gramEnd"/>
          </w:p>
        </w:tc>
        <w:tc>
          <w:tcPr>
            <w:tcW w:w="540" w:type="dxa"/>
            <w:shd w:val="clear" w:color="auto" w:fill="auto"/>
            <w:noWrap/>
            <w:vAlign w:val="center"/>
            <w:hideMark/>
          </w:tcPr>
          <w:p w14:paraId="4054F4FB"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18%</w:t>
            </w:r>
          </w:p>
        </w:tc>
      </w:tr>
      <w:tr w:rsidR="00193255" w:rsidRPr="00A232C9" w14:paraId="6A505DAA" w14:textId="77777777" w:rsidTr="007B4EFA">
        <w:trPr>
          <w:trHeight w:val="227"/>
          <w:jc w:val="center"/>
        </w:trPr>
        <w:tc>
          <w:tcPr>
            <w:tcW w:w="2851" w:type="dxa"/>
            <w:shd w:val="clear" w:color="auto" w:fill="auto"/>
            <w:noWrap/>
            <w:vAlign w:val="center"/>
            <w:hideMark/>
          </w:tcPr>
          <w:p w14:paraId="40324EDF"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Saúde</w:t>
            </w:r>
          </w:p>
        </w:tc>
        <w:tc>
          <w:tcPr>
            <w:tcW w:w="691" w:type="dxa"/>
            <w:shd w:val="clear" w:color="auto" w:fill="auto"/>
            <w:noWrap/>
            <w:vAlign w:val="center"/>
            <w:hideMark/>
          </w:tcPr>
          <w:p w14:paraId="65088D5D"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13</w:t>
            </w:r>
          </w:p>
        </w:tc>
        <w:tc>
          <w:tcPr>
            <w:tcW w:w="2101" w:type="dxa"/>
            <w:vAlign w:val="center"/>
          </w:tcPr>
          <w:p w14:paraId="14240626"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10</w:t>
            </w:r>
          </w:p>
        </w:tc>
        <w:tc>
          <w:tcPr>
            <w:tcW w:w="561" w:type="dxa"/>
            <w:vAlign w:val="center"/>
          </w:tcPr>
          <w:p w14:paraId="450C9FB8"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77%</w:t>
            </w:r>
          </w:p>
        </w:tc>
        <w:tc>
          <w:tcPr>
            <w:tcW w:w="2123" w:type="dxa"/>
            <w:shd w:val="clear" w:color="auto" w:fill="auto"/>
            <w:noWrap/>
            <w:vAlign w:val="center"/>
            <w:hideMark/>
          </w:tcPr>
          <w:p w14:paraId="10582D5D"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3</w:t>
            </w:r>
            <w:proofErr w:type="gramEnd"/>
          </w:p>
        </w:tc>
        <w:tc>
          <w:tcPr>
            <w:tcW w:w="540" w:type="dxa"/>
            <w:shd w:val="clear" w:color="auto" w:fill="auto"/>
            <w:noWrap/>
            <w:vAlign w:val="center"/>
            <w:hideMark/>
          </w:tcPr>
          <w:p w14:paraId="21D10242"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23%</w:t>
            </w:r>
          </w:p>
        </w:tc>
      </w:tr>
      <w:tr w:rsidR="00193255" w:rsidRPr="00A232C9" w14:paraId="74A4C262" w14:textId="77777777" w:rsidTr="007B4EFA">
        <w:trPr>
          <w:trHeight w:val="227"/>
          <w:jc w:val="center"/>
        </w:trPr>
        <w:tc>
          <w:tcPr>
            <w:tcW w:w="2851" w:type="dxa"/>
            <w:shd w:val="clear" w:color="auto" w:fill="auto"/>
            <w:noWrap/>
            <w:vAlign w:val="center"/>
            <w:hideMark/>
          </w:tcPr>
          <w:p w14:paraId="28262BB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Tecnologia da Informação</w:t>
            </w:r>
          </w:p>
        </w:tc>
        <w:tc>
          <w:tcPr>
            <w:tcW w:w="691" w:type="dxa"/>
            <w:shd w:val="clear" w:color="auto" w:fill="auto"/>
            <w:noWrap/>
            <w:vAlign w:val="center"/>
            <w:hideMark/>
          </w:tcPr>
          <w:p w14:paraId="5B689121"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8</w:t>
            </w:r>
            <w:proofErr w:type="gramEnd"/>
          </w:p>
        </w:tc>
        <w:tc>
          <w:tcPr>
            <w:tcW w:w="2101" w:type="dxa"/>
            <w:vAlign w:val="center"/>
          </w:tcPr>
          <w:p w14:paraId="559483EA"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7</w:t>
            </w:r>
            <w:proofErr w:type="gramEnd"/>
          </w:p>
        </w:tc>
        <w:tc>
          <w:tcPr>
            <w:tcW w:w="561" w:type="dxa"/>
            <w:vAlign w:val="center"/>
          </w:tcPr>
          <w:p w14:paraId="3D959B8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88%</w:t>
            </w:r>
          </w:p>
        </w:tc>
        <w:tc>
          <w:tcPr>
            <w:tcW w:w="2123" w:type="dxa"/>
            <w:shd w:val="clear" w:color="auto" w:fill="auto"/>
            <w:noWrap/>
            <w:vAlign w:val="center"/>
            <w:hideMark/>
          </w:tcPr>
          <w:p w14:paraId="2F7D2725"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1</w:t>
            </w:r>
            <w:proofErr w:type="gramEnd"/>
          </w:p>
        </w:tc>
        <w:tc>
          <w:tcPr>
            <w:tcW w:w="540" w:type="dxa"/>
            <w:shd w:val="clear" w:color="auto" w:fill="auto"/>
            <w:noWrap/>
            <w:vAlign w:val="center"/>
            <w:hideMark/>
          </w:tcPr>
          <w:p w14:paraId="6F5395BF"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13%</w:t>
            </w:r>
          </w:p>
        </w:tc>
      </w:tr>
      <w:tr w:rsidR="00193255" w:rsidRPr="00A232C9" w14:paraId="10F6A361" w14:textId="77777777" w:rsidTr="007B4EFA">
        <w:trPr>
          <w:trHeight w:val="227"/>
          <w:jc w:val="center"/>
        </w:trPr>
        <w:tc>
          <w:tcPr>
            <w:tcW w:w="2851" w:type="dxa"/>
            <w:shd w:val="clear" w:color="auto" w:fill="auto"/>
            <w:noWrap/>
            <w:vAlign w:val="center"/>
            <w:hideMark/>
          </w:tcPr>
          <w:p w14:paraId="6FC22F7F"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Telecomunicações</w:t>
            </w:r>
          </w:p>
        </w:tc>
        <w:tc>
          <w:tcPr>
            <w:tcW w:w="691" w:type="dxa"/>
            <w:shd w:val="clear" w:color="auto" w:fill="auto"/>
            <w:noWrap/>
            <w:vAlign w:val="center"/>
            <w:hideMark/>
          </w:tcPr>
          <w:p w14:paraId="07A50BC2"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7</w:t>
            </w:r>
            <w:proofErr w:type="gramEnd"/>
          </w:p>
        </w:tc>
        <w:tc>
          <w:tcPr>
            <w:tcW w:w="2101" w:type="dxa"/>
            <w:vAlign w:val="center"/>
          </w:tcPr>
          <w:p w14:paraId="61C0C540"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6</w:t>
            </w:r>
            <w:proofErr w:type="gramEnd"/>
          </w:p>
        </w:tc>
        <w:tc>
          <w:tcPr>
            <w:tcW w:w="561" w:type="dxa"/>
            <w:vAlign w:val="center"/>
          </w:tcPr>
          <w:p w14:paraId="3B5C15CC"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86%</w:t>
            </w:r>
          </w:p>
        </w:tc>
        <w:tc>
          <w:tcPr>
            <w:tcW w:w="2123" w:type="dxa"/>
            <w:shd w:val="clear" w:color="auto" w:fill="auto"/>
            <w:noWrap/>
            <w:vAlign w:val="center"/>
            <w:hideMark/>
          </w:tcPr>
          <w:p w14:paraId="56BCFC03"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proofErr w:type="gramStart"/>
            <w:r w:rsidRPr="00A232C9">
              <w:rPr>
                <w:rFonts w:ascii="Times New Roman" w:eastAsia="Times New Roman" w:hAnsi="Times New Roman"/>
                <w:noProof w:val="0"/>
                <w:sz w:val="20"/>
                <w:szCs w:val="20"/>
                <w:lang w:val="pt-BR" w:eastAsia="pt-BR"/>
              </w:rPr>
              <w:t>1</w:t>
            </w:r>
            <w:proofErr w:type="gramEnd"/>
          </w:p>
        </w:tc>
        <w:tc>
          <w:tcPr>
            <w:tcW w:w="540" w:type="dxa"/>
            <w:shd w:val="clear" w:color="auto" w:fill="auto"/>
            <w:noWrap/>
            <w:vAlign w:val="center"/>
            <w:hideMark/>
          </w:tcPr>
          <w:p w14:paraId="2B1CF52E"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14%</w:t>
            </w:r>
          </w:p>
        </w:tc>
      </w:tr>
      <w:tr w:rsidR="00193255" w:rsidRPr="00A232C9" w14:paraId="7FCA2BB3" w14:textId="77777777" w:rsidTr="007B4EFA">
        <w:trPr>
          <w:trHeight w:val="227"/>
          <w:jc w:val="center"/>
        </w:trPr>
        <w:tc>
          <w:tcPr>
            <w:tcW w:w="2851" w:type="dxa"/>
            <w:shd w:val="clear" w:color="auto" w:fill="auto"/>
            <w:noWrap/>
            <w:vAlign w:val="center"/>
            <w:hideMark/>
          </w:tcPr>
          <w:p w14:paraId="60E68685"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Utilidade Pública</w:t>
            </w:r>
          </w:p>
        </w:tc>
        <w:tc>
          <w:tcPr>
            <w:tcW w:w="691" w:type="dxa"/>
            <w:shd w:val="clear" w:color="auto" w:fill="auto"/>
            <w:noWrap/>
            <w:vAlign w:val="center"/>
            <w:hideMark/>
          </w:tcPr>
          <w:p w14:paraId="06C384B2"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68</w:t>
            </w:r>
          </w:p>
        </w:tc>
        <w:tc>
          <w:tcPr>
            <w:tcW w:w="2101" w:type="dxa"/>
            <w:vAlign w:val="center"/>
          </w:tcPr>
          <w:p w14:paraId="15C6551E"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53</w:t>
            </w:r>
          </w:p>
        </w:tc>
        <w:tc>
          <w:tcPr>
            <w:tcW w:w="561" w:type="dxa"/>
            <w:vAlign w:val="center"/>
          </w:tcPr>
          <w:p w14:paraId="74BC1911"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78%</w:t>
            </w:r>
          </w:p>
        </w:tc>
        <w:tc>
          <w:tcPr>
            <w:tcW w:w="2123" w:type="dxa"/>
            <w:shd w:val="clear" w:color="auto" w:fill="auto"/>
            <w:noWrap/>
            <w:vAlign w:val="center"/>
            <w:hideMark/>
          </w:tcPr>
          <w:p w14:paraId="6F1A91B7"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15</w:t>
            </w:r>
          </w:p>
        </w:tc>
        <w:tc>
          <w:tcPr>
            <w:tcW w:w="540" w:type="dxa"/>
            <w:shd w:val="clear" w:color="auto" w:fill="auto"/>
            <w:noWrap/>
            <w:vAlign w:val="center"/>
            <w:hideMark/>
          </w:tcPr>
          <w:p w14:paraId="69551316" w14:textId="77777777" w:rsidR="002866A6" w:rsidRPr="00A232C9" w:rsidRDefault="002866A6" w:rsidP="008E7DAE">
            <w:pPr>
              <w:spacing w:after="0" w:line="240" w:lineRule="auto"/>
              <w:jc w:val="center"/>
              <w:rPr>
                <w:rFonts w:ascii="Times New Roman" w:eastAsia="Times New Roman" w:hAnsi="Times New Roman"/>
                <w:noProof w:val="0"/>
                <w:sz w:val="20"/>
                <w:szCs w:val="20"/>
                <w:lang w:val="pt-BR" w:eastAsia="pt-BR"/>
              </w:rPr>
            </w:pPr>
            <w:r w:rsidRPr="00A232C9">
              <w:rPr>
                <w:rFonts w:ascii="Times New Roman" w:eastAsia="Times New Roman" w:hAnsi="Times New Roman"/>
                <w:noProof w:val="0"/>
                <w:sz w:val="20"/>
                <w:szCs w:val="20"/>
                <w:lang w:val="pt-BR" w:eastAsia="pt-BR"/>
              </w:rPr>
              <w:t>22%</w:t>
            </w:r>
          </w:p>
        </w:tc>
      </w:tr>
      <w:tr w:rsidR="00193255" w:rsidRPr="00A232C9" w14:paraId="14FFC803" w14:textId="77777777" w:rsidTr="007B4EFA">
        <w:trPr>
          <w:trHeight w:val="227"/>
          <w:jc w:val="center"/>
        </w:trPr>
        <w:tc>
          <w:tcPr>
            <w:tcW w:w="2851" w:type="dxa"/>
            <w:shd w:val="clear" w:color="000000" w:fill="DDD9C4"/>
            <w:noWrap/>
            <w:vAlign w:val="center"/>
            <w:hideMark/>
          </w:tcPr>
          <w:p w14:paraId="09FB63C6" w14:textId="77777777" w:rsidR="002866A6" w:rsidRPr="00A232C9" w:rsidRDefault="00CC6907"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Total</w:t>
            </w:r>
          </w:p>
        </w:tc>
        <w:tc>
          <w:tcPr>
            <w:tcW w:w="691" w:type="dxa"/>
            <w:shd w:val="clear" w:color="000000" w:fill="DDD9C4"/>
            <w:noWrap/>
            <w:vAlign w:val="center"/>
            <w:hideMark/>
          </w:tcPr>
          <w:p w14:paraId="0C2F4C38"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457</w:t>
            </w:r>
          </w:p>
        </w:tc>
        <w:tc>
          <w:tcPr>
            <w:tcW w:w="2101" w:type="dxa"/>
            <w:shd w:val="clear" w:color="000000" w:fill="DDD9C4"/>
            <w:vAlign w:val="center"/>
          </w:tcPr>
          <w:p w14:paraId="0D8BB70B"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366</w:t>
            </w:r>
          </w:p>
        </w:tc>
        <w:tc>
          <w:tcPr>
            <w:tcW w:w="561" w:type="dxa"/>
            <w:shd w:val="clear" w:color="000000" w:fill="DDD9C4"/>
            <w:vAlign w:val="center"/>
          </w:tcPr>
          <w:p w14:paraId="43F9EB66"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80%</w:t>
            </w:r>
          </w:p>
        </w:tc>
        <w:tc>
          <w:tcPr>
            <w:tcW w:w="2123" w:type="dxa"/>
            <w:shd w:val="clear" w:color="000000" w:fill="DDD9C4"/>
            <w:noWrap/>
            <w:vAlign w:val="center"/>
            <w:hideMark/>
          </w:tcPr>
          <w:p w14:paraId="65C8900E"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91</w:t>
            </w:r>
          </w:p>
        </w:tc>
        <w:tc>
          <w:tcPr>
            <w:tcW w:w="540" w:type="dxa"/>
            <w:shd w:val="clear" w:color="000000" w:fill="DDD9C4"/>
            <w:noWrap/>
            <w:vAlign w:val="center"/>
            <w:hideMark/>
          </w:tcPr>
          <w:p w14:paraId="5A4B476B" w14:textId="77777777" w:rsidR="002866A6" w:rsidRPr="00A232C9" w:rsidRDefault="002866A6" w:rsidP="008E7DAE">
            <w:pPr>
              <w:spacing w:after="0" w:line="240" w:lineRule="auto"/>
              <w:jc w:val="center"/>
              <w:rPr>
                <w:rFonts w:ascii="Times New Roman" w:eastAsia="Times New Roman" w:hAnsi="Times New Roman"/>
                <w:b/>
                <w:bCs/>
                <w:noProof w:val="0"/>
                <w:sz w:val="20"/>
                <w:szCs w:val="20"/>
                <w:lang w:val="pt-BR" w:eastAsia="pt-BR"/>
              </w:rPr>
            </w:pPr>
            <w:r w:rsidRPr="00A232C9">
              <w:rPr>
                <w:rFonts w:ascii="Times New Roman" w:eastAsia="Times New Roman" w:hAnsi="Times New Roman"/>
                <w:b/>
                <w:bCs/>
                <w:noProof w:val="0"/>
                <w:sz w:val="20"/>
                <w:szCs w:val="20"/>
                <w:lang w:val="pt-BR" w:eastAsia="pt-BR"/>
              </w:rPr>
              <w:t>20%</w:t>
            </w:r>
          </w:p>
        </w:tc>
      </w:tr>
    </w:tbl>
    <w:p w14:paraId="33A8E366" w14:textId="6BE62EFC" w:rsidR="00BC012E" w:rsidRDefault="00A232C9" w:rsidP="008E7DAE">
      <w:pPr>
        <w:spacing w:after="0" w:line="240" w:lineRule="auto"/>
        <w:rPr>
          <w:rFonts w:ascii="Times New Roman" w:hAnsi="Times New Roman"/>
          <w:sz w:val="20"/>
          <w:szCs w:val="20"/>
        </w:rPr>
      </w:pPr>
      <w:r>
        <w:rPr>
          <w:rFonts w:ascii="Times New Roman" w:hAnsi="Times New Roman"/>
          <w:sz w:val="20"/>
          <w:szCs w:val="20"/>
        </w:rPr>
        <w:t xml:space="preserve">  </w:t>
      </w:r>
      <w:r w:rsidR="00BC012E" w:rsidRPr="00A232C9">
        <w:rPr>
          <w:rFonts w:ascii="Times New Roman" w:hAnsi="Times New Roman"/>
          <w:sz w:val="20"/>
          <w:szCs w:val="20"/>
        </w:rPr>
        <w:t>Fonte: Elaborado pelos autores.</w:t>
      </w:r>
    </w:p>
    <w:p w14:paraId="71287E64" w14:textId="1682C09F" w:rsidR="00BC012E" w:rsidRPr="00A232C9" w:rsidRDefault="00BC012E"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lastRenderedPageBreak/>
        <w:t xml:space="preserve">A técnica de coleta de dados </w:t>
      </w:r>
      <w:r w:rsidR="00B8417A" w:rsidRPr="00A232C9">
        <w:rPr>
          <w:rFonts w:ascii="Times New Roman" w:hAnsi="Times New Roman"/>
          <w:sz w:val="24"/>
          <w:szCs w:val="24"/>
          <w:lang w:val="pt-BR"/>
        </w:rPr>
        <w:t xml:space="preserve">foi a análise de conteúdo, </w:t>
      </w:r>
      <w:r w:rsidR="00DD268A" w:rsidRPr="00A232C9">
        <w:rPr>
          <w:rFonts w:ascii="Times New Roman" w:hAnsi="Times New Roman"/>
          <w:sz w:val="24"/>
          <w:szCs w:val="24"/>
          <w:lang w:val="pt-BR"/>
        </w:rPr>
        <w:t xml:space="preserve">realizada </w:t>
      </w:r>
      <w:r w:rsidRPr="00A232C9">
        <w:rPr>
          <w:rFonts w:ascii="Times New Roman" w:hAnsi="Times New Roman"/>
          <w:sz w:val="24"/>
          <w:szCs w:val="24"/>
          <w:lang w:val="pt-BR"/>
        </w:rPr>
        <w:t xml:space="preserve">nas DFP e nas NE das empresas com relação às </w:t>
      </w:r>
      <w:r w:rsidR="00F01E2F" w:rsidRPr="00A232C9">
        <w:rPr>
          <w:rFonts w:ascii="Times New Roman" w:hAnsi="Times New Roman"/>
          <w:sz w:val="24"/>
          <w:szCs w:val="24"/>
          <w:lang w:val="pt-BR"/>
        </w:rPr>
        <w:t>PPI</w:t>
      </w:r>
      <w:r w:rsidRPr="00A232C9">
        <w:rPr>
          <w:rFonts w:ascii="Times New Roman" w:hAnsi="Times New Roman"/>
          <w:sz w:val="24"/>
          <w:szCs w:val="24"/>
          <w:lang w:val="pt-BR"/>
        </w:rPr>
        <w:t xml:space="preserve">. Desta forma, </w:t>
      </w:r>
      <w:r w:rsidR="00047783" w:rsidRPr="00A232C9">
        <w:rPr>
          <w:rFonts w:ascii="Times New Roman" w:hAnsi="Times New Roman"/>
          <w:sz w:val="24"/>
          <w:szCs w:val="24"/>
          <w:lang w:val="pt-BR"/>
        </w:rPr>
        <w:t xml:space="preserve">foram investigadas informações quanto ao valor das </w:t>
      </w:r>
      <w:r w:rsidR="002E6B3A">
        <w:rPr>
          <w:rFonts w:ascii="Times New Roman" w:hAnsi="Times New Roman"/>
          <w:sz w:val="24"/>
          <w:szCs w:val="24"/>
          <w:lang w:val="pt-BR"/>
        </w:rPr>
        <w:t>PPI</w:t>
      </w:r>
      <w:r w:rsidR="00047783" w:rsidRPr="00A232C9">
        <w:rPr>
          <w:rFonts w:ascii="Times New Roman" w:hAnsi="Times New Roman"/>
          <w:sz w:val="24"/>
          <w:szCs w:val="24"/>
          <w:lang w:val="pt-BR"/>
        </w:rPr>
        <w:t>, ao método escolhido para mensuração após o reconhecimento inicial e ao atendimento do requisito de divulgação do valor justo das empresas que optaram pelo método de custo, conforme exposto no CPC 28 (2009).</w:t>
      </w:r>
    </w:p>
    <w:p w14:paraId="3985C754" w14:textId="56A5FDBB" w:rsidR="007B081A" w:rsidRPr="00A232C9" w:rsidRDefault="00047783"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Os dados foram analisados por meio de estatísticas descritivas</w:t>
      </w:r>
      <w:r w:rsidR="00DD268A" w:rsidRPr="00A232C9">
        <w:rPr>
          <w:rFonts w:ascii="Times New Roman" w:hAnsi="Times New Roman"/>
          <w:sz w:val="24"/>
          <w:szCs w:val="24"/>
          <w:lang w:val="pt-BR"/>
        </w:rPr>
        <w:t xml:space="preserve"> (média, valor máximo, valor mínimo e desvio padrão) </w:t>
      </w:r>
      <w:r w:rsidR="00240984" w:rsidRPr="00A232C9">
        <w:rPr>
          <w:rFonts w:ascii="Times New Roman" w:hAnsi="Times New Roman"/>
          <w:sz w:val="24"/>
          <w:szCs w:val="24"/>
          <w:lang w:val="pt-BR"/>
        </w:rPr>
        <w:t>referentes aos valores das P</w:t>
      </w:r>
      <w:r w:rsidR="00532026" w:rsidRPr="00A232C9">
        <w:rPr>
          <w:rFonts w:ascii="Times New Roman" w:hAnsi="Times New Roman"/>
          <w:sz w:val="24"/>
          <w:szCs w:val="24"/>
          <w:lang w:val="pt-BR"/>
        </w:rPr>
        <w:t>P</w:t>
      </w:r>
      <w:r w:rsidR="00240984" w:rsidRPr="00A232C9">
        <w:rPr>
          <w:rFonts w:ascii="Times New Roman" w:hAnsi="Times New Roman"/>
          <w:sz w:val="24"/>
          <w:szCs w:val="24"/>
          <w:lang w:val="pt-BR"/>
        </w:rPr>
        <w:t>I</w:t>
      </w:r>
      <w:r w:rsidR="00DD268A" w:rsidRPr="00A232C9">
        <w:rPr>
          <w:rFonts w:ascii="Times New Roman" w:hAnsi="Times New Roman"/>
          <w:sz w:val="24"/>
          <w:szCs w:val="24"/>
          <w:lang w:val="pt-BR"/>
        </w:rPr>
        <w:t>.</w:t>
      </w:r>
      <w:r w:rsidR="00240984" w:rsidRPr="00A232C9">
        <w:rPr>
          <w:rFonts w:ascii="Times New Roman" w:hAnsi="Times New Roman"/>
          <w:sz w:val="24"/>
          <w:szCs w:val="24"/>
          <w:lang w:val="pt-BR"/>
        </w:rPr>
        <w:t xml:space="preserve"> </w:t>
      </w:r>
      <w:r w:rsidRPr="00A232C9">
        <w:rPr>
          <w:rFonts w:ascii="Times New Roman" w:hAnsi="Times New Roman"/>
          <w:sz w:val="24"/>
          <w:szCs w:val="24"/>
          <w:lang w:val="pt-BR"/>
        </w:rPr>
        <w:t>Além disso, para verificar o nível de comparabilidade das empresas</w:t>
      </w:r>
      <w:r w:rsidR="00257551" w:rsidRPr="00A232C9">
        <w:rPr>
          <w:rFonts w:ascii="Times New Roman" w:hAnsi="Times New Roman"/>
          <w:sz w:val="24"/>
          <w:szCs w:val="24"/>
          <w:lang w:val="pt-BR"/>
        </w:rPr>
        <w:t xml:space="preserve">, foram </w:t>
      </w:r>
      <w:r w:rsidRPr="00A232C9">
        <w:rPr>
          <w:rFonts w:ascii="Times New Roman" w:hAnsi="Times New Roman"/>
          <w:sz w:val="24"/>
          <w:szCs w:val="24"/>
          <w:lang w:val="pt-BR"/>
        </w:rPr>
        <w:t>aplicado</w:t>
      </w:r>
      <w:r w:rsidR="00257551" w:rsidRPr="00A232C9">
        <w:rPr>
          <w:rFonts w:ascii="Times New Roman" w:hAnsi="Times New Roman"/>
          <w:sz w:val="24"/>
          <w:szCs w:val="24"/>
          <w:lang w:val="pt-BR"/>
        </w:rPr>
        <w:t>s o índice H, proposto por Van der Tas (1988), e</w:t>
      </w:r>
      <w:r w:rsidRPr="00A232C9">
        <w:rPr>
          <w:rFonts w:ascii="Times New Roman" w:hAnsi="Times New Roman"/>
          <w:sz w:val="24"/>
          <w:szCs w:val="24"/>
          <w:lang w:val="pt-BR"/>
        </w:rPr>
        <w:t xml:space="preserve"> o índice T</w:t>
      </w:r>
      <w:r w:rsidR="00532026" w:rsidRPr="00A232C9">
        <w:rPr>
          <w:rFonts w:ascii="Times New Roman" w:hAnsi="Times New Roman"/>
          <w:sz w:val="24"/>
          <w:szCs w:val="24"/>
          <w:lang w:val="pt-BR"/>
        </w:rPr>
        <w:t xml:space="preserve"> de harmonia </w:t>
      </w:r>
      <w:r w:rsidR="00E724A6" w:rsidRPr="00A232C9">
        <w:rPr>
          <w:rFonts w:ascii="Times New Roman" w:hAnsi="Times New Roman"/>
          <w:sz w:val="24"/>
          <w:szCs w:val="24"/>
          <w:lang w:val="pt-BR"/>
        </w:rPr>
        <w:t>(</w:t>
      </w:r>
      <w:r w:rsidR="00E724A6" w:rsidRPr="00A232C9">
        <w:rPr>
          <w:rFonts w:ascii="Times New Roman" w:hAnsi="Times New Roman"/>
          <w:i/>
          <w:sz w:val="24"/>
          <w:szCs w:val="24"/>
          <w:lang w:val="pt-BR"/>
        </w:rPr>
        <w:t>T index</w:t>
      </w:r>
      <w:r w:rsidR="00E724A6" w:rsidRPr="00A232C9">
        <w:rPr>
          <w:rFonts w:ascii="Times New Roman" w:hAnsi="Times New Roman"/>
          <w:sz w:val="24"/>
          <w:szCs w:val="24"/>
          <w:lang w:val="pt-BR"/>
        </w:rPr>
        <w:t xml:space="preserve">) </w:t>
      </w:r>
      <w:r w:rsidRPr="00A232C9">
        <w:rPr>
          <w:rFonts w:ascii="Times New Roman" w:hAnsi="Times New Roman"/>
          <w:sz w:val="24"/>
          <w:szCs w:val="24"/>
          <w:lang w:val="pt-BR"/>
        </w:rPr>
        <w:t>proposto por Taplin</w:t>
      </w:r>
      <w:r w:rsidR="00532026" w:rsidRPr="00A232C9">
        <w:rPr>
          <w:rFonts w:ascii="Times New Roman" w:hAnsi="Times New Roman"/>
          <w:sz w:val="24"/>
          <w:szCs w:val="24"/>
          <w:lang w:val="pt-BR"/>
        </w:rPr>
        <w:t xml:space="preserve"> (2004)</w:t>
      </w:r>
      <w:r w:rsidRPr="00A232C9">
        <w:rPr>
          <w:rFonts w:ascii="Times New Roman" w:hAnsi="Times New Roman"/>
          <w:sz w:val="24"/>
          <w:szCs w:val="24"/>
          <w:lang w:val="pt-BR"/>
        </w:rPr>
        <w:t xml:space="preserve">. </w:t>
      </w:r>
    </w:p>
    <w:p w14:paraId="5C3CA4E0" w14:textId="3E907D2B" w:rsidR="00257551" w:rsidRPr="00A232C9" w:rsidRDefault="007B16AA"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 índice de concentração de Herfindahl</w:t>
      </w:r>
      <w:r w:rsidR="00DD268A" w:rsidRPr="00A232C9">
        <w:rPr>
          <w:rFonts w:ascii="Times New Roman" w:hAnsi="Times New Roman"/>
          <w:sz w:val="24"/>
          <w:szCs w:val="24"/>
          <w:lang w:val="pt-BR"/>
        </w:rPr>
        <w:t xml:space="preserve"> (</w:t>
      </w:r>
      <w:r w:rsidR="00480125" w:rsidRPr="00A232C9">
        <w:rPr>
          <w:rFonts w:ascii="Times New Roman" w:hAnsi="Times New Roman"/>
          <w:sz w:val="24"/>
          <w:szCs w:val="24"/>
          <w:lang w:val="pt-BR"/>
        </w:rPr>
        <w:t xml:space="preserve">índice </w:t>
      </w:r>
      <w:r w:rsidRPr="00A232C9">
        <w:rPr>
          <w:rFonts w:ascii="Times New Roman" w:hAnsi="Times New Roman"/>
          <w:sz w:val="24"/>
          <w:szCs w:val="24"/>
          <w:lang w:val="pt-BR"/>
        </w:rPr>
        <w:t>H</w:t>
      </w:r>
      <w:r w:rsidR="00DD268A" w:rsidRPr="00A232C9">
        <w:rPr>
          <w:rFonts w:ascii="Times New Roman" w:hAnsi="Times New Roman"/>
          <w:sz w:val="24"/>
          <w:szCs w:val="24"/>
          <w:lang w:val="pt-BR"/>
        </w:rPr>
        <w:t>)</w:t>
      </w:r>
      <w:r w:rsidRPr="00A232C9">
        <w:rPr>
          <w:rFonts w:ascii="Times New Roman" w:hAnsi="Times New Roman"/>
          <w:sz w:val="24"/>
          <w:szCs w:val="24"/>
          <w:lang w:val="pt-BR"/>
        </w:rPr>
        <w:t xml:space="preserve"> é calculado </w:t>
      </w:r>
      <w:r w:rsidR="00480125" w:rsidRPr="00A232C9">
        <w:rPr>
          <w:rFonts w:ascii="Times New Roman" w:hAnsi="Times New Roman"/>
          <w:sz w:val="24"/>
          <w:szCs w:val="24"/>
          <w:lang w:val="pt-BR"/>
        </w:rPr>
        <w:t>por meio</w:t>
      </w:r>
      <w:r w:rsidRPr="00A232C9">
        <w:rPr>
          <w:rFonts w:ascii="Times New Roman" w:hAnsi="Times New Roman"/>
          <w:sz w:val="24"/>
          <w:szCs w:val="24"/>
          <w:lang w:val="pt-BR"/>
        </w:rPr>
        <w:t xml:space="preserve"> da ponderação de frequências relativas dos métodos contábeis alternativos entre si. A frequência de um método contábil compreende o número de empresas que optam pelo referente método. </w:t>
      </w:r>
      <w:r w:rsidR="00DB0D07" w:rsidRPr="00A232C9">
        <w:rPr>
          <w:rFonts w:ascii="Times New Roman" w:hAnsi="Times New Roman"/>
          <w:sz w:val="24"/>
          <w:szCs w:val="24"/>
          <w:lang w:val="pt-BR"/>
        </w:rPr>
        <w:t>A</w:t>
      </w:r>
      <w:r w:rsidRPr="00A232C9">
        <w:rPr>
          <w:rFonts w:ascii="Times New Roman" w:hAnsi="Times New Roman"/>
          <w:sz w:val="24"/>
          <w:szCs w:val="24"/>
          <w:lang w:val="pt-BR"/>
        </w:rPr>
        <w:t xml:space="preserve"> frequência relativa é obtida pelo número de empresas optantes por um determinado método contábil dividido pelo número total de empresas.</w:t>
      </w:r>
      <w:r w:rsidR="00266F8B" w:rsidRPr="00A232C9">
        <w:rPr>
          <w:rFonts w:ascii="Times New Roman" w:hAnsi="Times New Roman"/>
          <w:sz w:val="24"/>
          <w:szCs w:val="24"/>
          <w:lang w:val="pt-BR"/>
        </w:rPr>
        <w:t xml:space="preserve"> Assim, o índice revela um maior nível de comparabilidade quando as empresas concentram-se em apenas um ou em um número limitado de práticas contábeis</w:t>
      </w:r>
      <w:r w:rsidR="00AC542C" w:rsidRPr="00A232C9">
        <w:rPr>
          <w:rFonts w:ascii="Times New Roman" w:hAnsi="Times New Roman"/>
          <w:sz w:val="24"/>
          <w:szCs w:val="24"/>
          <w:lang w:val="pt-BR"/>
        </w:rPr>
        <w:t xml:space="preserve"> (</w:t>
      </w:r>
      <w:r w:rsidR="00D11E82">
        <w:rPr>
          <w:rFonts w:ascii="Times New Roman" w:hAnsi="Times New Roman"/>
          <w:sz w:val="24"/>
          <w:szCs w:val="24"/>
          <w:lang w:val="pt-BR"/>
        </w:rPr>
        <w:t>VAN DER TAS</w:t>
      </w:r>
      <w:r w:rsidR="00266F8B" w:rsidRPr="00A232C9">
        <w:rPr>
          <w:rFonts w:ascii="Times New Roman" w:hAnsi="Times New Roman"/>
          <w:sz w:val="24"/>
          <w:szCs w:val="24"/>
          <w:lang w:val="pt-BR"/>
        </w:rPr>
        <w:t>, 1988).</w:t>
      </w:r>
    </w:p>
    <w:p w14:paraId="1D8E0A88" w14:textId="77777777" w:rsidR="00266F8B" w:rsidRDefault="00AC542C"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 forma para o cálculo do Índice H é apresentada na pesquisa de Van der Tas (1988), sendo que a variável </w:t>
      </w:r>
      <w:r w:rsidRPr="00A232C9">
        <w:rPr>
          <w:rFonts w:ascii="Times New Roman" w:hAnsi="Times New Roman"/>
          <w:i/>
          <w:sz w:val="24"/>
          <w:szCs w:val="24"/>
          <w:lang w:val="pt-BR"/>
        </w:rPr>
        <w:t>n</w:t>
      </w:r>
      <w:r w:rsidRPr="00A232C9">
        <w:rPr>
          <w:rFonts w:ascii="Times New Roman" w:hAnsi="Times New Roman"/>
          <w:sz w:val="24"/>
          <w:szCs w:val="24"/>
          <w:lang w:val="pt-BR"/>
        </w:rPr>
        <w:t xml:space="preserve"> representa o número de métodos contábeis alternativos e a variável </w:t>
      </w:r>
      <w:r w:rsidRPr="00A232C9">
        <w:rPr>
          <w:rFonts w:ascii="Times New Roman" w:hAnsi="Times New Roman"/>
          <w:i/>
          <w:sz w:val="24"/>
          <w:szCs w:val="24"/>
          <w:lang w:val="pt-BR"/>
        </w:rPr>
        <w:t>Pi</w:t>
      </w:r>
      <w:r w:rsidRPr="00A232C9">
        <w:rPr>
          <w:rFonts w:ascii="Times New Roman" w:hAnsi="Times New Roman"/>
          <w:sz w:val="24"/>
          <w:szCs w:val="24"/>
          <w:lang w:val="pt-BR"/>
        </w:rPr>
        <w:t xml:space="preserve"> a frequência relativa do método contábil </w:t>
      </w:r>
      <w:r w:rsidRPr="00A232C9">
        <w:rPr>
          <w:rFonts w:ascii="Times New Roman" w:hAnsi="Times New Roman"/>
          <w:i/>
          <w:sz w:val="24"/>
          <w:szCs w:val="24"/>
          <w:lang w:val="pt-BR"/>
        </w:rPr>
        <w:t>i</w:t>
      </w:r>
      <w:r w:rsidRPr="00A232C9">
        <w:rPr>
          <w:rFonts w:ascii="Times New Roman" w:hAnsi="Times New Roman"/>
          <w:sz w:val="24"/>
          <w:szCs w:val="24"/>
          <w:lang w:val="pt-BR"/>
        </w:rPr>
        <w:t>.</w:t>
      </w:r>
    </w:p>
    <w:p w14:paraId="2BA2B10D"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6D36BF1F" w14:textId="77777777" w:rsidR="00AC542C" w:rsidRPr="00A4097B" w:rsidRDefault="00AC542C" w:rsidP="008E7DAE">
      <w:pPr>
        <w:pStyle w:val="Legenda"/>
        <w:keepNext/>
        <w:spacing w:after="0"/>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t xml:space="preserve">Figura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Figura \* ARABIC </w:instrText>
      </w:r>
      <w:r w:rsidRPr="00A4097B">
        <w:rPr>
          <w:rFonts w:ascii="Times New Roman" w:hAnsi="Times New Roman"/>
          <w:b w:val="0"/>
          <w:color w:val="auto"/>
          <w:sz w:val="20"/>
          <w:szCs w:val="20"/>
        </w:rPr>
        <w:fldChar w:fldCharType="separate"/>
      </w:r>
      <w:r w:rsidRPr="00A4097B">
        <w:rPr>
          <w:rFonts w:ascii="Times New Roman" w:hAnsi="Times New Roman"/>
          <w:b w:val="0"/>
          <w:color w:val="auto"/>
          <w:sz w:val="20"/>
          <w:szCs w:val="20"/>
          <w:lang w:val="pt-BR"/>
        </w:rPr>
        <w:t>1</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 Fórmula Geral do Índice H</w:t>
      </w:r>
    </w:p>
    <w:p w14:paraId="684EFF8C" w14:textId="6105A8BF" w:rsidR="00AC542C" w:rsidRPr="00A4097B" w:rsidRDefault="009F79E2" w:rsidP="008E7DAE">
      <w:pPr>
        <w:spacing w:after="0" w:line="240" w:lineRule="auto"/>
        <w:jc w:val="center"/>
        <w:rPr>
          <w:rFonts w:ascii="Times New Roman" w:hAnsi="Times New Roman"/>
          <w:sz w:val="20"/>
          <w:szCs w:val="20"/>
          <w:lang w:val="pt-BR" w:eastAsia="pt-BR"/>
        </w:rPr>
      </w:pPr>
      <w:r w:rsidRPr="00A4097B">
        <w:rPr>
          <w:rFonts w:ascii="Times New Roman" w:hAnsi="Times New Roman"/>
          <w:sz w:val="20"/>
          <w:szCs w:val="20"/>
          <w:lang w:val="pt-BR" w:eastAsia="pt-BR"/>
        </w:rPr>
        <w:drawing>
          <wp:inline distT="0" distB="0" distL="0" distR="0" wp14:anchorId="003217A4" wp14:editId="315DC32B">
            <wp:extent cx="1111250" cy="592667"/>
            <wp:effectExtent l="19050" t="19050" r="12700" b="171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667" t="41389" r="26486" b="49245"/>
                    <a:stretch>
                      <a:fillRect/>
                    </a:stretch>
                  </pic:blipFill>
                  <pic:spPr bwMode="auto">
                    <a:xfrm>
                      <a:off x="0" y="0"/>
                      <a:ext cx="1133533" cy="604551"/>
                    </a:xfrm>
                    <a:prstGeom prst="rect">
                      <a:avLst/>
                    </a:prstGeom>
                    <a:noFill/>
                    <a:ln w="6350" cmpd="sng">
                      <a:solidFill>
                        <a:srgbClr val="000000"/>
                      </a:solidFill>
                      <a:miter lim="800000"/>
                      <a:headEnd/>
                      <a:tailEnd/>
                    </a:ln>
                    <a:effectLst/>
                  </pic:spPr>
                </pic:pic>
              </a:graphicData>
            </a:graphic>
          </wp:inline>
        </w:drawing>
      </w:r>
    </w:p>
    <w:p w14:paraId="39AE7E4B" w14:textId="77777777" w:rsidR="00AC542C" w:rsidRDefault="00AC542C" w:rsidP="008E7DAE">
      <w:pPr>
        <w:spacing w:after="0" w:line="240" w:lineRule="auto"/>
        <w:ind w:left="3119"/>
        <w:rPr>
          <w:rFonts w:ascii="Times New Roman" w:hAnsi="Times New Roman"/>
          <w:sz w:val="20"/>
          <w:szCs w:val="20"/>
          <w:lang w:val="pt-BR"/>
        </w:rPr>
      </w:pPr>
      <w:r w:rsidRPr="00A4097B">
        <w:rPr>
          <w:rFonts w:ascii="Times New Roman" w:hAnsi="Times New Roman"/>
          <w:sz w:val="20"/>
          <w:szCs w:val="20"/>
          <w:lang w:val="pt-BR"/>
        </w:rPr>
        <w:t>Fonte: Van der Tas (1988, p. 159).</w:t>
      </w:r>
    </w:p>
    <w:p w14:paraId="1B6F0EC6" w14:textId="77777777" w:rsidR="004F54B0" w:rsidRPr="00A065E0" w:rsidRDefault="004F54B0" w:rsidP="008E7DAE">
      <w:pPr>
        <w:spacing w:after="0" w:line="240" w:lineRule="auto"/>
        <w:ind w:left="3119"/>
        <w:rPr>
          <w:rFonts w:ascii="Times New Roman" w:hAnsi="Times New Roman"/>
          <w:sz w:val="20"/>
          <w:szCs w:val="20"/>
          <w:lang w:val="pt-BR"/>
        </w:rPr>
      </w:pPr>
    </w:p>
    <w:p w14:paraId="762FD451" w14:textId="331DDCDB" w:rsidR="00047783" w:rsidRDefault="00DB0D07"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w:t>
      </w:r>
      <w:r w:rsidR="001A044B" w:rsidRPr="00A232C9">
        <w:rPr>
          <w:rFonts w:ascii="Times New Roman" w:hAnsi="Times New Roman"/>
          <w:sz w:val="24"/>
          <w:szCs w:val="24"/>
          <w:lang w:val="pt-BR"/>
        </w:rPr>
        <w:t xml:space="preserve"> índice </w:t>
      </w:r>
      <w:r w:rsidR="007B081A" w:rsidRPr="00A232C9">
        <w:rPr>
          <w:rFonts w:ascii="Times New Roman" w:hAnsi="Times New Roman"/>
          <w:sz w:val="24"/>
          <w:szCs w:val="24"/>
          <w:lang w:val="pt-BR"/>
        </w:rPr>
        <w:t xml:space="preserve">T </w:t>
      </w:r>
      <w:r w:rsidR="001A044B" w:rsidRPr="00A232C9">
        <w:rPr>
          <w:rFonts w:ascii="Times New Roman" w:hAnsi="Times New Roman"/>
          <w:sz w:val="24"/>
          <w:szCs w:val="24"/>
          <w:lang w:val="pt-BR"/>
        </w:rPr>
        <w:t>determina se as contas co</w:t>
      </w:r>
      <w:r w:rsidR="001A044B" w:rsidRPr="00D11E82">
        <w:rPr>
          <w:rFonts w:ascii="Times New Roman" w:hAnsi="Times New Roman"/>
          <w:sz w:val="24"/>
          <w:szCs w:val="24"/>
          <w:lang w:val="pt-BR"/>
        </w:rPr>
        <w:t>ntábeis de empresas distintas são comparavéis de acordo com os métodos contábeis escolhidos (</w:t>
      </w:r>
      <w:r w:rsidR="00D11E82" w:rsidRPr="00D11E82">
        <w:rPr>
          <w:rFonts w:ascii="Times New Roman" w:hAnsi="Times New Roman"/>
          <w:sz w:val="24"/>
          <w:szCs w:val="24"/>
          <w:lang w:val="pt-BR"/>
        </w:rPr>
        <w:t>COELHO; CAMPAGNONI; ROVER, 2016</w:t>
      </w:r>
      <w:r w:rsidR="001A044B" w:rsidRPr="00D11E82">
        <w:rPr>
          <w:rFonts w:ascii="Times New Roman" w:hAnsi="Times New Roman"/>
          <w:sz w:val="24"/>
          <w:szCs w:val="24"/>
          <w:lang w:val="pt-BR"/>
        </w:rPr>
        <w:t xml:space="preserve">). </w:t>
      </w:r>
      <w:r w:rsidR="00E66FDE" w:rsidRPr="00D11E82">
        <w:rPr>
          <w:rFonts w:ascii="Times New Roman" w:hAnsi="Times New Roman"/>
          <w:sz w:val="24"/>
          <w:szCs w:val="24"/>
          <w:lang w:val="pt-BR"/>
        </w:rPr>
        <w:t xml:space="preserve">A fórmula geral para o cálculo </w:t>
      </w:r>
      <w:r w:rsidR="00E66FDE" w:rsidRPr="00A232C9">
        <w:rPr>
          <w:rFonts w:ascii="Times New Roman" w:hAnsi="Times New Roman"/>
          <w:sz w:val="24"/>
          <w:szCs w:val="24"/>
          <w:lang w:val="pt-BR"/>
        </w:rPr>
        <w:t>do índice T é apresentada no estudo de Taplin (2004, p. 61):</w:t>
      </w:r>
    </w:p>
    <w:p w14:paraId="0E968D9C"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23F115CC" w14:textId="77777777" w:rsidR="00EF3850" w:rsidRPr="00A4097B" w:rsidRDefault="00EF3850" w:rsidP="008E7DAE">
      <w:pPr>
        <w:pStyle w:val="Legenda"/>
        <w:keepNext/>
        <w:spacing w:after="0"/>
        <w:jc w:val="center"/>
        <w:rPr>
          <w:rFonts w:ascii="Times New Roman" w:hAnsi="Times New Roman"/>
          <w:sz w:val="20"/>
          <w:szCs w:val="20"/>
          <w:lang w:val="pt-BR"/>
        </w:rPr>
      </w:pPr>
      <w:r w:rsidRPr="00A4097B">
        <w:rPr>
          <w:rFonts w:ascii="Times New Roman" w:hAnsi="Times New Roman"/>
          <w:b w:val="0"/>
          <w:color w:val="auto"/>
          <w:sz w:val="20"/>
          <w:szCs w:val="20"/>
          <w:lang w:val="pt-BR"/>
        </w:rPr>
        <w:t xml:space="preserve">Figura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Figura \* ARABIC </w:instrText>
      </w:r>
      <w:r w:rsidRPr="00A4097B">
        <w:rPr>
          <w:rFonts w:ascii="Times New Roman" w:hAnsi="Times New Roman"/>
          <w:b w:val="0"/>
          <w:color w:val="auto"/>
          <w:sz w:val="20"/>
          <w:szCs w:val="20"/>
        </w:rPr>
        <w:fldChar w:fldCharType="separate"/>
      </w:r>
      <w:r w:rsidRPr="00A4097B">
        <w:rPr>
          <w:rFonts w:ascii="Times New Roman" w:hAnsi="Times New Roman"/>
          <w:b w:val="0"/>
          <w:color w:val="auto"/>
          <w:sz w:val="20"/>
          <w:szCs w:val="20"/>
          <w:lang w:val="pt-BR"/>
        </w:rPr>
        <w:t>2</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 Fórmula Geral do Índice T</w:t>
      </w:r>
    </w:p>
    <w:p w14:paraId="72DDFC03" w14:textId="2B1D150F" w:rsidR="0070140A" w:rsidRPr="00A4097B" w:rsidRDefault="009F79E2" w:rsidP="008E7DAE">
      <w:pPr>
        <w:spacing w:after="0" w:line="240" w:lineRule="auto"/>
        <w:jc w:val="center"/>
        <w:rPr>
          <w:rFonts w:ascii="Times New Roman" w:hAnsi="Times New Roman"/>
          <w:sz w:val="20"/>
          <w:szCs w:val="20"/>
        </w:rPr>
      </w:pPr>
      <w:r w:rsidRPr="00A4097B">
        <w:rPr>
          <w:rFonts w:ascii="Times New Roman" w:hAnsi="Times New Roman"/>
          <w:sz w:val="20"/>
          <w:szCs w:val="20"/>
          <w:lang w:val="pt-BR" w:eastAsia="pt-BR"/>
        </w:rPr>
        <w:drawing>
          <wp:inline distT="0" distB="0" distL="0" distR="0" wp14:anchorId="1CC194D5" wp14:editId="119D187F">
            <wp:extent cx="2406650" cy="594173"/>
            <wp:effectExtent l="19050" t="19050" r="12700" b="1587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29913" t="45088" r="48502" b="45798"/>
                    <a:stretch>
                      <a:fillRect/>
                    </a:stretch>
                  </pic:blipFill>
                  <pic:spPr bwMode="auto">
                    <a:xfrm>
                      <a:off x="0" y="0"/>
                      <a:ext cx="2440359" cy="602495"/>
                    </a:xfrm>
                    <a:prstGeom prst="rect">
                      <a:avLst/>
                    </a:prstGeom>
                    <a:noFill/>
                    <a:ln w="9525" cmpd="sng">
                      <a:solidFill>
                        <a:srgbClr val="000000"/>
                      </a:solidFill>
                      <a:miter lim="800000"/>
                      <a:headEnd/>
                      <a:tailEnd/>
                    </a:ln>
                    <a:effectLst/>
                  </pic:spPr>
                </pic:pic>
              </a:graphicData>
            </a:graphic>
          </wp:inline>
        </w:drawing>
      </w:r>
    </w:p>
    <w:p w14:paraId="4919F52D" w14:textId="77777777" w:rsidR="00D8727B" w:rsidRDefault="00D8727B" w:rsidP="008E7DAE">
      <w:pPr>
        <w:spacing w:after="0" w:line="240" w:lineRule="auto"/>
        <w:ind w:left="2694"/>
        <w:rPr>
          <w:rFonts w:ascii="Times New Roman" w:hAnsi="Times New Roman"/>
          <w:sz w:val="20"/>
          <w:szCs w:val="20"/>
          <w:lang w:val="pt-BR"/>
        </w:rPr>
      </w:pPr>
      <w:r w:rsidRPr="00A4097B">
        <w:rPr>
          <w:rFonts w:ascii="Times New Roman" w:hAnsi="Times New Roman"/>
          <w:sz w:val="20"/>
          <w:szCs w:val="20"/>
          <w:lang w:val="pt-BR"/>
        </w:rPr>
        <w:t xml:space="preserve">Fonte: </w:t>
      </w:r>
      <w:r w:rsidR="000501EE" w:rsidRPr="00A4097B">
        <w:rPr>
          <w:rFonts w:ascii="Times New Roman" w:hAnsi="Times New Roman"/>
          <w:sz w:val="20"/>
          <w:szCs w:val="20"/>
          <w:lang w:val="pt-BR"/>
        </w:rPr>
        <w:t>Taplin (2004, p. 61).</w:t>
      </w:r>
    </w:p>
    <w:p w14:paraId="1A77E3FC" w14:textId="77777777" w:rsidR="00A065E0" w:rsidRPr="00A065E0" w:rsidRDefault="00A065E0" w:rsidP="008E7DAE">
      <w:pPr>
        <w:spacing w:after="0" w:line="240" w:lineRule="auto"/>
        <w:ind w:left="2694"/>
        <w:rPr>
          <w:rFonts w:ascii="Times New Roman" w:hAnsi="Times New Roman"/>
          <w:sz w:val="20"/>
          <w:szCs w:val="20"/>
          <w:lang w:val="pt-BR"/>
        </w:rPr>
      </w:pPr>
    </w:p>
    <w:p w14:paraId="03DFA362" w14:textId="77777777" w:rsidR="00E66FDE" w:rsidRPr="00A232C9" w:rsidRDefault="00F01E2F" w:rsidP="008E7DAE">
      <w:pPr>
        <w:spacing w:after="0" w:line="240" w:lineRule="auto"/>
        <w:ind w:firstLine="567"/>
        <w:rPr>
          <w:rFonts w:ascii="Times New Roman" w:hAnsi="Times New Roman"/>
          <w:sz w:val="24"/>
          <w:szCs w:val="24"/>
          <w:lang w:val="pt-BR"/>
        </w:rPr>
      </w:pPr>
      <w:r w:rsidRPr="00A232C9">
        <w:rPr>
          <w:rFonts w:ascii="Times New Roman" w:hAnsi="Times New Roman"/>
          <w:sz w:val="24"/>
          <w:szCs w:val="24"/>
          <w:lang w:val="pt-BR"/>
        </w:rPr>
        <w:t xml:space="preserve">As variáveis da fórmula são, de acordo com </w:t>
      </w:r>
      <w:r w:rsidR="00532026" w:rsidRPr="00A232C9">
        <w:rPr>
          <w:rFonts w:ascii="Times New Roman" w:hAnsi="Times New Roman"/>
          <w:sz w:val="24"/>
          <w:szCs w:val="24"/>
          <w:lang w:val="pt-BR"/>
        </w:rPr>
        <w:t>T</w:t>
      </w:r>
      <w:r w:rsidRPr="00A232C9">
        <w:rPr>
          <w:rFonts w:ascii="Times New Roman" w:hAnsi="Times New Roman"/>
          <w:sz w:val="24"/>
          <w:szCs w:val="24"/>
          <w:lang w:val="pt-BR"/>
        </w:rPr>
        <w:t>aplin</w:t>
      </w:r>
      <w:r w:rsidR="00532026" w:rsidRPr="00A232C9">
        <w:rPr>
          <w:rFonts w:ascii="Times New Roman" w:hAnsi="Times New Roman"/>
          <w:sz w:val="24"/>
          <w:szCs w:val="24"/>
          <w:lang w:val="pt-BR"/>
        </w:rPr>
        <w:t xml:space="preserve">, </w:t>
      </w:r>
      <w:r w:rsidRPr="00A232C9">
        <w:rPr>
          <w:rFonts w:ascii="Times New Roman" w:hAnsi="Times New Roman"/>
          <w:sz w:val="24"/>
          <w:szCs w:val="24"/>
          <w:lang w:val="pt-BR"/>
        </w:rPr>
        <w:t>(</w:t>
      </w:r>
      <w:r w:rsidR="00E66FDE" w:rsidRPr="00A232C9">
        <w:rPr>
          <w:rFonts w:ascii="Times New Roman" w:hAnsi="Times New Roman"/>
          <w:sz w:val="24"/>
          <w:szCs w:val="24"/>
          <w:lang w:val="pt-BR"/>
        </w:rPr>
        <w:t>2004, p. 61)</w:t>
      </w:r>
      <w:r w:rsidR="001B798E" w:rsidRPr="00A232C9">
        <w:rPr>
          <w:rFonts w:ascii="Times New Roman" w:hAnsi="Times New Roman"/>
          <w:sz w:val="24"/>
          <w:szCs w:val="24"/>
          <w:lang w:val="pt-BR"/>
        </w:rPr>
        <w:t xml:space="preserve">: </w:t>
      </w:r>
    </w:p>
    <w:p w14:paraId="358B8686" w14:textId="77777777" w:rsidR="00E66FDE" w:rsidRPr="00A232C9" w:rsidRDefault="00E66FDE" w:rsidP="008E7DAE">
      <w:pPr>
        <w:spacing w:after="0" w:line="240" w:lineRule="auto"/>
        <w:ind w:firstLine="567"/>
        <w:rPr>
          <w:rFonts w:ascii="Times New Roman" w:hAnsi="Times New Roman"/>
          <w:sz w:val="24"/>
          <w:szCs w:val="24"/>
          <w:lang w:val="pt-BR"/>
        </w:rPr>
      </w:pPr>
      <w:r w:rsidRPr="00A232C9">
        <w:rPr>
          <w:rFonts w:ascii="Times New Roman" w:hAnsi="Times New Roman"/>
          <w:i/>
          <w:sz w:val="24"/>
          <w:szCs w:val="24"/>
        </w:rPr>
        <w:t>α</w:t>
      </w:r>
      <w:r w:rsidRPr="00A232C9">
        <w:rPr>
          <w:rFonts w:ascii="Times New Roman" w:hAnsi="Times New Roman"/>
          <w:i/>
          <w:sz w:val="24"/>
          <w:szCs w:val="24"/>
          <w:lang w:val="pt-BR"/>
        </w:rPr>
        <w:t>kl</w:t>
      </w:r>
      <w:r w:rsidR="00532026" w:rsidRPr="00A232C9">
        <w:rPr>
          <w:rFonts w:ascii="Times New Roman" w:hAnsi="Times New Roman"/>
          <w:sz w:val="24"/>
          <w:szCs w:val="24"/>
          <w:lang w:val="pt-BR"/>
        </w:rPr>
        <w:t xml:space="preserve"> – é o</w:t>
      </w:r>
      <w:r w:rsidRPr="00A232C9">
        <w:rPr>
          <w:rFonts w:ascii="Times New Roman" w:hAnsi="Times New Roman"/>
          <w:sz w:val="24"/>
          <w:szCs w:val="24"/>
          <w:lang w:val="pt-BR"/>
        </w:rPr>
        <w:t xml:space="preserve"> coeficiente de comparabilidade entre os métodos contábeis k e l;</w:t>
      </w:r>
    </w:p>
    <w:p w14:paraId="44B484B1" w14:textId="77777777" w:rsidR="00E66FDE" w:rsidRPr="00A232C9" w:rsidRDefault="00E66FDE" w:rsidP="008E7DAE">
      <w:pPr>
        <w:spacing w:after="0" w:line="240" w:lineRule="auto"/>
        <w:ind w:firstLine="567"/>
        <w:rPr>
          <w:rFonts w:ascii="Times New Roman" w:hAnsi="Times New Roman"/>
          <w:sz w:val="24"/>
          <w:szCs w:val="24"/>
          <w:lang w:val="pt-BR"/>
        </w:rPr>
      </w:pPr>
      <w:r w:rsidRPr="00A232C9">
        <w:rPr>
          <w:rFonts w:ascii="Times New Roman" w:hAnsi="Times New Roman"/>
          <w:i/>
          <w:sz w:val="24"/>
          <w:szCs w:val="24"/>
        </w:rPr>
        <w:t>β</w:t>
      </w:r>
      <w:r w:rsidRPr="00A232C9">
        <w:rPr>
          <w:rFonts w:ascii="Times New Roman" w:hAnsi="Times New Roman"/>
          <w:i/>
          <w:sz w:val="24"/>
          <w:szCs w:val="24"/>
          <w:lang w:val="pt-BR"/>
        </w:rPr>
        <w:t>ij</w:t>
      </w:r>
      <w:r w:rsidR="00532026" w:rsidRPr="00A232C9">
        <w:rPr>
          <w:rFonts w:ascii="Times New Roman" w:hAnsi="Times New Roman"/>
          <w:sz w:val="24"/>
          <w:szCs w:val="24"/>
          <w:lang w:val="pt-BR"/>
        </w:rPr>
        <w:t xml:space="preserve"> – é a ponderação para a comparação entre empresas dos países i e j;</w:t>
      </w:r>
    </w:p>
    <w:p w14:paraId="5C53551D" w14:textId="77777777" w:rsidR="00E66FDE" w:rsidRPr="00A232C9" w:rsidRDefault="00E66FDE" w:rsidP="008E7DAE">
      <w:pPr>
        <w:spacing w:after="0" w:line="240" w:lineRule="auto"/>
        <w:ind w:firstLine="567"/>
        <w:rPr>
          <w:rFonts w:ascii="Times New Roman" w:hAnsi="Times New Roman"/>
          <w:sz w:val="24"/>
          <w:szCs w:val="24"/>
          <w:lang w:val="pt-BR"/>
        </w:rPr>
      </w:pPr>
      <w:r w:rsidRPr="00A232C9">
        <w:rPr>
          <w:rFonts w:ascii="Times New Roman" w:hAnsi="Times New Roman"/>
          <w:i/>
          <w:sz w:val="24"/>
          <w:szCs w:val="24"/>
          <w:lang w:val="pt-BR"/>
        </w:rPr>
        <w:t>Pki</w:t>
      </w:r>
      <w:r w:rsidR="00532026" w:rsidRPr="00A232C9">
        <w:rPr>
          <w:rFonts w:ascii="Times New Roman" w:hAnsi="Times New Roman"/>
          <w:sz w:val="24"/>
          <w:szCs w:val="24"/>
          <w:lang w:val="pt-BR"/>
        </w:rPr>
        <w:t xml:space="preserve"> – é a proporção de empresas no país i que utilizam o método contábil k;</w:t>
      </w:r>
    </w:p>
    <w:p w14:paraId="03F51913" w14:textId="77777777" w:rsidR="00E66FDE" w:rsidRPr="00A232C9" w:rsidRDefault="00E66FDE" w:rsidP="008E7DAE">
      <w:pPr>
        <w:spacing w:after="0" w:line="240" w:lineRule="auto"/>
        <w:ind w:firstLine="567"/>
        <w:rPr>
          <w:rFonts w:ascii="Times New Roman" w:hAnsi="Times New Roman"/>
          <w:sz w:val="24"/>
          <w:szCs w:val="24"/>
          <w:lang w:val="pt-BR"/>
        </w:rPr>
      </w:pPr>
      <w:r w:rsidRPr="00A232C9">
        <w:rPr>
          <w:rFonts w:ascii="Times New Roman" w:hAnsi="Times New Roman"/>
          <w:i/>
          <w:sz w:val="24"/>
          <w:szCs w:val="24"/>
          <w:lang w:val="pt-BR"/>
        </w:rPr>
        <w:t>Plj</w:t>
      </w:r>
      <w:r w:rsidR="00532026" w:rsidRPr="00A232C9">
        <w:rPr>
          <w:rFonts w:ascii="Times New Roman" w:hAnsi="Times New Roman"/>
          <w:sz w:val="24"/>
          <w:szCs w:val="24"/>
          <w:lang w:val="pt-BR"/>
        </w:rPr>
        <w:t xml:space="preserve"> – </w:t>
      </w:r>
      <w:r w:rsidR="009E56AA" w:rsidRPr="00A232C9">
        <w:rPr>
          <w:rFonts w:ascii="Times New Roman" w:hAnsi="Times New Roman"/>
          <w:sz w:val="24"/>
          <w:szCs w:val="24"/>
          <w:lang w:val="pt-BR"/>
        </w:rPr>
        <w:t>é a proporção de empresas no paí</w:t>
      </w:r>
      <w:r w:rsidR="00532026" w:rsidRPr="00A232C9">
        <w:rPr>
          <w:rFonts w:ascii="Times New Roman" w:hAnsi="Times New Roman"/>
          <w:sz w:val="24"/>
          <w:szCs w:val="24"/>
          <w:lang w:val="pt-BR"/>
        </w:rPr>
        <w:t>s j que utilizam o método contábil i;</w:t>
      </w:r>
    </w:p>
    <w:p w14:paraId="6CCF91B7" w14:textId="77777777" w:rsidR="00E66FDE" w:rsidRPr="00A232C9" w:rsidRDefault="00E66FDE" w:rsidP="008E7DAE">
      <w:pPr>
        <w:spacing w:after="0" w:line="240" w:lineRule="auto"/>
        <w:ind w:firstLine="567"/>
        <w:rPr>
          <w:rFonts w:ascii="Times New Roman" w:hAnsi="Times New Roman"/>
          <w:i/>
          <w:sz w:val="24"/>
          <w:szCs w:val="24"/>
          <w:lang w:val="pt-BR"/>
        </w:rPr>
      </w:pPr>
      <w:r w:rsidRPr="00A232C9">
        <w:rPr>
          <w:rFonts w:ascii="Times New Roman" w:hAnsi="Times New Roman"/>
          <w:sz w:val="24"/>
          <w:szCs w:val="24"/>
          <w:lang w:val="pt-BR"/>
        </w:rPr>
        <w:t>N</w:t>
      </w:r>
      <w:r w:rsidR="00532026" w:rsidRPr="00A232C9">
        <w:rPr>
          <w:rFonts w:ascii="Times New Roman" w:hAnsi="Times New Roman"/>
          <w:sz w:val="24"/>
          <w:szCs w:val="24"/>
          <w:lang w:val="pt-BR"/>
        </w:rPr>
        <w:t xml:space="preserve"> – é a quantidade de países (1 a N);</w:t>
      </w:r>
    </w:p>
    <w:p w14:paraId="721612F0" w14:textId="77777777" w:rsidR="00E66FDE" w:rsidRPr="00A232C9" w:rsidRDefault="00E66FDE" w:rsidP="008E7DAE">
      <w:pPr>
        <w:spacing w:after="0" w:line="240" w:lineRule="auto"/>
        <w:ind w:firstLine="567"/>
        <w:rPr>
          <w:rFonts w:ascii="Times New Roman" w:hAnsi="Times New Roman"/>
          <w:i/>
          <w:sz w:val="24"/>
          <w:szCs w:val="24"/>
          <w:lang w:val="pt-BR"/>
        </w:rPr>
      </w:pPr>
      <w:r w:rsidRPr="00A232C9">
        <w:rPr>
          <w:rFonts w:ascii="Times New Roman" w:hAnsi="Times New Roman"/>
          <w:sz w:val="24"/>
          <w:szCs w:val="24"/>
          <w:lang w:val="pt-BR"/>
        </w:rPr>
        <w:t>M</w:t>
      </w:r>
      <w:r w:rsidR="00532026" w:rsidRPr="00A232C9">
        <w:rPr>
          <w:rFonts w:ascii="Times New Roman" w:hAnsi="Times New Roman"/>
          <w:sz w:val="24"/>
          <w:szCs w:val="24"/>
          <w:lang w:val="pt-BR"/>
        </w:rPr>
        <w:t xml:space="preserve"> – é a quantidade de métodos contábeis (1 a M).</w:t>
      </w:r>
    </w:p>
    <w:p w14:paraId="53E16BF6" w14:textId="656E7A48" w:rsidR="0070140A" w:rsidRDefault="002B5723"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 valor mínimo</w:t>
      </w:r>
      <w:r w:rsidR="00145D4B" w:rsidRPr="00A232C9">
        <w:rPr>
          <w:rFonts w:ascii="Times New Roman" w:hAnsi="Times New Roman"/>
          <w:sz w:val="24"/>
          <w:szCs w:val="24"/>
          <w:lang w:val="pt-BR"/>
        </w:rPr>
        <w:t xml:space="preserve"> para o índice H e para</w:t>
      </w:r>
      <w:r w:rsidRPr="00A232C9">
        <w:rPr>
          <w:rFonts w:ascii="Times New Roman" w:hAnsi="Times New Roman"/>
          <w:sz w:val="24"/>
          <w:szCs w:val="24"/>
          <w:lang w:val="pt-BR"/>
        </w:rPr>
        <w:t xml:space="preserve"> índice</w:t>
      </w:r>
      <w:r w:rsidR="00D1330A" w:rsidRPr="00A232C9">
        <w:rPr>
          <w:rFonts w:ascii="Times New Roman" w:hAnsi="Times New Roman"/>
          <w:sz w:val="24"/>
          <w:szCs w:val="24"/>
          <w:lang w:val="pt-BR"/>
        </w:rPr>
        <w:t xml:space="preserve"> T</w:t>
      </w:r>
      <w:r w:rsidRPr="00A232C9">
        <w:rPr>
          <w:rFonts w:ascii="Times New Roman" w:hAnsi="Times New Roman"/>
          <w:sz w:val="24"/>
          <w:szCs w:val="24"/>
          <w:lang w:val="pt-BR"/>
        </w:rPr>
        <w:t xml:space="preserve"> é 0, indicando o nível de não comparabilidade, e o valor </w:t>
      </w:r>
      <w:r w:rsidRPr="00D11E82">
        <w:rPr>
          <w:rFonts w:ascii="Times New Roman" w:hAnsi="Times New Roman"/>
          <w:sz w:val="24"/>
          <w:szCs w:val="24"/>
          <w:lang w:val="pt-BR"/>
        </w:rPr>
        <w:t xml:space="preserve">máximo é 1, indicando o nível total de comparabilidade. </w:t>
      </w:r>
      <w:r w:rsidR="0070140A" w:rsidRPr="00D11E82">
        <w:rPr>
          <w:rFonts w:ascii="Times New Roman" w:hAnsi="Times New Roman"/>
          <w:sz w:val="24"/>
          <w:szCs w:val="24"/>
          <w:lang w:val="pt-BR"/>
        </w:rPr>
        <w:t>Para a interpretação do</w:t>
      </w:r>
      <w:r w:rsidR="00145D4B" w:rsidRPr="00D11E82">
        <w:rPr>
          <w:rFonts w:ascii="Times New Roman" w:hAnsi="Times New Roman"/>
          <w:sz w:val="24"/>
          <w:szCs w:val="24"/>
          <w:lang w:val="pt-BR"/>
        </w:rPr>
        <w:t>s</w:t>
      </w:r>
      <w:r w:rsidR="0070140A" w:rsidRPr="00D11E82">
        <w:rPr>
          <w:rFonts w:ascii="Times New Roman" w:hAnsi="Times New Roman"/>
          <w:sz w:val="24"/>
          <w:szCs w:val="24"/>
          <w:lang w:val="pt-BR"/>
        </w:rPr>
        <w:t xml:space="preserve"> valor</w:t>
      </w:r>
      <w:r w:rsidR="00145D4B" w:rsidRPr="00D11E82">
        <w:rPr>
          <w:rFonts w:ascii="Times New Roman" w:hAnsi="Times New Roman"/>
          <w:sz w:val="24"/>
          <w:szCs w:val="24"/>
          <w:lang w:val="pt-BR"/>
        </w:rPr>
        <w:t>es dos dois índices</w:t>
      </w:r>
      <w:r w:rsidR="0070140A" w:rsidRPr="00D11E82">
        <w:rPr>
          <w:rFonts w:ascii="Times New Roman" w:hAnsi="Times New Roman"/>
          <w:sz w:val="24"/>
          <w:szCs w:val="24"/>
          <w:lang w:val="pt-BR"/>
        </w:rPr>
        <w:t xml:space="preserve"> foi utilizada a escala adaptada presente nas pesquisas de </w:t>
      </w:r>
      <w:r w:rsidR="00D93641" w:rsidRPr="00D11E82">
        <w:rPr>
          <w:rFonts w:ascii="Times New Roman" w:hAnsi="Times New Roman"/>
          <w:sz w:val="24"/>
          <w:szCs w:val="24"/>
          <w:lang w:val="pt-BR"/>
        </w:rPr>
        <w:t>Souza</w:t>
      </w:r>
      <w:r w:rsidR="001623A0" w:rsidRPr="00D11E82">
        <w:rPr>
          <w:rFonts w:ascii="Times New Roman" w:hAnsi="Times New Roman"/>
          <w:sz w:val="24"/>
          <w:szCs w:val="24"/>
          <w:lang w:val="pt-BR"/>
        </w:rPr>
        <w:t xml:space="preserve"> </w:t>
      </w:r>
      <w:r w:rsidR="001623A0" w:rsidRPr="00D11E82">
        <w:rPr>
          <w:rFonts w:ascii="Times New Roman" w:hAnsi="Times New Roman"/>
          <w:i/>
          <w:sz w:val="24"/>
          <w:szCs w:val="24"/>
          <w:lang w:val="pt-BR"/>
        </w:rPr>
        <w:t>et al.</w:t>
      </w:r>
      <w:r w:rsidR="00D93641" w:rsidRPr="00D11E82">
        <w:rPr>
          <w:rFonts w:ascii="Times New Roman" w:hAnsi="Times New Roman"/>
          <w:sz w:val="24"/>
          <w:szCs w:val="24"/>
          <w:lang w:val="pt-BR"/>
        </w:rPr>
        <w:t xml:space="preserve"> </w:t>
      </w:r>
      <w:r w:rsidR="0070140A" w:rsidRPr="00D11E82">
        <w:rPr>
          <w:rFonts w:ascii="Times New Roman" w:hAnsi="Times New Roman"/>
          <w:sz w:val="24"/>
          <w:szCs w:val="24"/>
          <w:lang w:val="pt-BR"/>
        </w:rPr>
        <w:t xml:space="preserve">(2015) e </w:t>
      </w:r>
      <w:r w:rsidR="00D11E82" w:rsidRPr="00D11E82">
        <w:rPr>
          <w:rFonts w:ascii="Times New Roman" w:hAnsi="Times New Roman"/>
          <w:sz w:val="24"/>
          <w:szCs w:val="24"/>
          <w:lang w:val="pt-BR"/>
        </w:rPr>
        <w:t xml:space="preserve">Souza, Silva e Costa </w:t>
      </w:r>
      <w:r w:rsidR="0070140A" w:rsidRPr="00D11E82">
        <w:rPr>
          <w:rFonts w:ascii="Times New Roman" w:hAnsi="Times New Roman"/>
          <w:sz w:val="24"/>
          <w:szCs w:val="24"/>
          <w:lang w:val="pt-BR"/>
        </w:rPr>
        <w:t>(2013), demonstrada</w:t>
      </w:r>
      <w:r w:rsidR="0070140A" w:rsidRPr="00A232C9">
        <w:rPr>
          <w:rFonts w:ascii="Times New Roman" w:hAnsi="Times New Roman"/>
          <w:sz w:val="24"/>
          <w:szCs w:val="24"/>
          <w:lang w:val="pt-BR"/>
        </w:rPr>
        <w:t xml:space="preserve"> na Tabela </w:t>
      </w:r>
      <w:r w:rsidR="007A72BD">
        <w:rPr>
          <w:rFonts w:ascii="Times New Roman" w:hAnsi="Times New Roman"/>
          <w:sz w:val="24"/>
          <w:szCs w:val="24"/>
          <w:lang w:val="pt-BR"/>
        </w:rPr>
        <w:t>2</w:t>
      </w:r>
      <w:r w:rsidR="0070140A" w:rsidRPr="00A232C9">
        <w:rPr>
          <w:rFonts w:ascii="Times New Roman" w:hAnsi="Times New Roman"/>
          <w:sz w:val="24"/>
          <w:szCs w:val="24"/>
          <w:lang w:val="pt-BR"/>
        </w:rPr>
        <w:t xml:space="preserve">. </w:t>
      </w:r>
    </w:p>
    <w:p w14:paraId="22141E37" w14:textId="77777777" w:rsidR="004F54B0" w:rsidRPr="00A065E0" w:rsidRDefault="004F54B0" w:rsidP="008E7DAE">
      <w:pPr>
        <w:spacing w:after="0" w:line="240" w:lineRule="auto"/>
        <w:ind w:firstLine="567"/>
        <w:jc w:val="both"/>
        <w:rPr>
          <w:rFonts w:ascii="Times New Roman" w:hAnsi="Times New Roman"/>
          <w:b/>
          <w:sz w:val="20"/>
          <w:szCs w:val="20"/>
          <w:lang w:val="pt-BR"/>
        </w:rPr>
      </w:pPr>
    </w:p>
    <w:p w14:paraId="09F79011" w14:textId="10DD6F32" w:rsidR="000501EE" w:rsidRPr="00A4097B" w:rsidRDefault="000501EE" w:rsidP="008E7DAE">
      <w:pPr>
        <w:pStyle w:val="Legenda"/>
        <w:keepNext/>
        <w:spacing w:after="0"/>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lastRenderedPageBreak/>
        <w:t xml:space="preserve">Tabela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Tabela \* ARABIC </w:instrText>
      </w:r>
      <w:r w:rsidRPr="00A4097B">
        <w:rPr>
          <w:rFonts w:ascii="Times New Roman" w:hAnsi="Times New Roman"/>
          <w:b w:val="0"/>
          <w:color w:val="auto"/>
          <w:sz w:val="20"/>
          <w:szCs w:val="20"/>
        </w:rPr>
        <w:fldChar w:fldCharType="separate"/>
      </w:r>
      <w:r w:rsidR="00AA2A72">
        <w:rPr>
          <w:rFonts w:ascii="Times New Roman" w:hAnsi="Times New Roman"/>
          <w:b w:val="0"/>
          <w:color w:val="auto"/>
          <w:sz w:val="20"/>
          <w:szCs w:val="20"/>
          <w:lang w:val="pt-BR"/>
        </w:rPr>
        <w:t>2</w:t>
      </w:r>
      <w:r w:rsidRPr="00A4097B">
        <w:rPr>
          <w:rFonts w:ascii="Times New Roman" w:hAnsi="Times New Roman"/>
          <w:b w:val="0"/>
          <w:color w:val="auto"/>
          <w:sz w:val="20"/>
          <w:szCs w:val="20"/>
        </w:rPr>
        <w:fldChar w:fldCharType="end"/>
      </w:r>
      <w:r w:rsidR="00274812" w:rsidRPr="00A4097B">
        <w:rPr>
          <w:rFonts w:ascii="Times New Roman" w:hAnsi="Times New Roman"/>
          <w:b w:val="0"/>
          <w:color w:val="auto"/>
          <w:sz w:val="20"/>
          <w:szCs w:val="20"/>
          <w:lang w:val="pt-BR"/>
        </w:rPr>
        <w:t xml:space="preserve"> - Interpretação do</w:t>
      </w:r>
      <w:r w:rsidR="00B70D67">
        <w:rPr>
          <w:rFonts w:ascii="Times New Roman" w:hAnsi="Times New Roman"/>
          <w:b w:val="0"/>
          <w:color w:val="auto"/>
          <w:sz w:val="20"/>
          <w:szCs w:val="20"/>
          <w:lang w:val="pt-BR"/>
        </w:rPr>
        <w:t>s</w:t>
      </w:r>
      <w:r w:rsidR="00274812" w:rsidRPr="00A4097B">
        <w:rPr>
          <w:rFonts w:ascii="Times New Roman" w:hAnsi="Times New Roman"/>
          <w:b w:val="0"/>
          <w:color w:val="auto"/>
          <w:sz w:val="20"/>
          <w:szCs w:val="20"/>
          <w:lang w:val="pt-BR"/>
        </w:rPr>
        <w:t xml:space="preserve"> Índice</w:t>
      </w:r>
      <w:r w:rsidR="00B70D67">
        <w:rPr>
          <w:rFonts w:ascii="Times New Roman" w:hAnsi="Times New Roman"/>
          <w:b w:val="0"/>
          <w:color w:val="auto"/>
          <w:sz w:val="20"/>
          <w:szCs w:val="20"/>
          <w:lang w:val="pt-BR"/>
        </w:rPr>
        <w:t>s T e H</w:t>
      </w:r>
    </w:p>
    <w:tbl>
      <w:tblPr>
        <w:tblW w:w="6680"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3688"/>
      </w:tblGrid>
      <w:tr w:rsidR="00193255" w:rsidRPr="00A4097B" w14:paraId="3099E216" w14:textId="77777777" w:rsidTr="00DD268A">
        <w:trPr>
          <w:trHeight w:hRule="exact" w:val="227"/>
          <w:jc w:val="center"/>
        </w:trPr>
        <w:tc>
          <w:tcPr>
            <w:tcW w:w="2992" w:type="dxa"/>
            <w:shd w:val="clear" w:color="000000" w:fill="DDD9C4"/>
            <w:vAlign w:val="center"/>
            <w:hideMark/>
          </w:tcPr>
          <w:p w14:paraId="795E8B87" w14:textId="581907D0" w:rsidR="0070140A" w:rsidRPr="00A4097B" w:rsidRDefault="00F42C06"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Índice T</w:t>
            </w:r>
            <w:r w:rsidR="00B70D67">
              <w:rPr>
                <w:rFonts w:ascii="Times New Roman" w:eastAsia="Times New Roman" w:hAnsi="Times New Roman"/>
                <w:b/>
                <w:bCs/>
                <w:noProof w:val="0"/>
                <w:sz w:val="20"/>
                <w:szCs w:val="20"/>
                <w:lang w:val="pt-BR" w:eastAsia="pt-BR"/>
              </w:rPr>
              <w:t xml:space="preserve"> e H</w:t>
            </w:r>
          </w:p>
        </w:tc>
        <w:tc>
          <w:tcPr>
            <w:tcW w:w="3688" w:type="dxa"/>
            <w:shd w:val="clear" w:color="000000" w:fill="DDD9C4"/>
            <w:vAlign w:val="center"/>
            <w:hideMark/>
          </w:tcPr>
          <w:p w14:paraId="3B1BB274" w14:textId="77777777" w:rsidR="0070140A" w:rsidRPr="00A4097B" w:rsidRDefault="00F42C06"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 de Comparabilidade</w:t>
            </w:r>
          </w:p>
        </w:tc>
      </w:tr>
      <w:tr w:rsidR="00193255" w:rsidRPr="00A4097B" w14:paraId="2B3B86F6" w14:textId="77777777" w:rsidTr="00DD268A">
        <w:trPr>
          <w:trHeight w:hRule="exact" w:val="227"/>
          <w:jc w:val="center"/>
        </w:trPr>
        <w:tc>
          <w:tcPr>
            <w:tcW w:w="2992" w:type="dxa"/>
            <w:shd w:val="clear" w:color="auto" w:fill="auto"/>
            <w:noWrap/>
            <w:vAlign w:val="center"/>
            <w:hideMark/>
          </w:tcPr>
          <w:p w14:paraId="1A832695"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Entre 0,700 e 1,000</w:t>
            </w:r>
          </w:p>
        </w:tc>
        <w:tc>
          <w:tcPr>
            <w:tcW w:w="3688" w:type="dxa"/>
            <w:shd w:val="clear" w:color="auto" w:fill="auto"/>
            <w:noWrap/>
            <w:vAlign w:val="center"/>
            <w:hideMark/>
          </w:tcPr>
          <w:p w14:paraId="346BEBA2"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r>
      <w:tr w:rsidR="00193255" w:rsidRPr="00A4097B" w14:paraId="74E665B9" w14:textId="77777777" w:rsidTr="00DD268A">
        <w:trPr>
          <w:trHeight w:hRule="exact" w:val="227"/>
          <w:jc w:val="center"/>
        </w:trPr>
        <w:tc>
          <w:tcPr>
            <w:tcW w:w="2992" w:type="dxa"/>
            <w:shd w:val="clear" w:color="auto" w:fill="auto"/>
            <w:noWrap/>
            <w:vAlign w:val="center"/>
            <w:hideMark/>
          </w:tcPr>
          <w:p w14:paraId="25B54E6E"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Entre 0,500 e 0,699</w:t>
            </w:r>
          </w:p>
        </w:tc>
        <w:tc>
          <w:tcPr>
            <w:tcW w:w="3688" w:type="dxa"/>
            <w:shd w:val="clear" w:color="auto" w:fill="auto"/>
            <w:noWrap/>
            <w:vAlign w:val="center"/>
            <w:hideMark/>
          </w:tcPr>
          <w:p w14:paraId="378E9B3E"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r>
      <w:tr w:rsidR="00193255" w:rsidRPr="00A4097B" w14:paraId="42341F83" w14:textId="77777777" w:rsidTr="00DD268A">
        <w:trPr>
          <w:trHeight w:hRule="exact" w:val="227"/>
          <w:jc w:val="center"/>
        </w:trPr>
        <w:tc>
          <w:tcPr>
            <w:tcW w:w="2992" w:type="dxa"/>
            <w:shd w:val="clear" w:color="auto" w:fill="auto"/>
            <w:noWrap/>
            <w:vAlign w:val="center"/>
            <w:hideMark/>
          </w:tcPr>
          <w:p w14:paraId="45D95FFF"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Entre 0,000 e 0,499</w:t>
            </w:r>
          </w:p>
        </w:tc>
        <w:tc>
          <w:tcPr>
            <w:tcW w:w="3688" w:type="dxa"/>
            <w:shd w:val="clear" w:color="auto" w:fill="auto"/>
            <w:noWrap/>
            <w:vAlign w:val="center"/>
            <w:hideMark/>
          </w:tcPr>
          <w:p w14:paraId="3F4481CB" w14:textId="77777777" w:rsidR="0070140A" w:rsidRPr="00A4097B" w:rsidRDefault="0070140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bl>
    <w:p w14:paraId="64A9CB77" w14:textId="77777777" w:rsidR="0070140A" w:rsidRDefault="00613972" w:rsidP="008E7DAE">
      <w:pPr>
        <w:spacing w:after="0" w:line="240" w:lineRule="auto"/>
        <w:ind w:left="1134"/>
        <w:rPr>
          <w:rFonts w:ascii="Times New Roman" w:hAnsi="Times New Roman"/>
          <w:sz w:val="20"/>
          <w:szCs w:val="20"/>
        </w:rPr>
      </w:pPr>
      <w:r w:rsidRPr="00A4097B">
        <w:rPr>
          <w:rFonts w:ascii="Times New Roman" w:hAnsi="Times New Roman"/>
          <w:sz w:val="20"/>
          <w:szCs w:val="20"/>
        </w:rPr>
        <w:t xml:space="preserve"> </w:t>
      </w:r>
      <w:r w:rsidR="000501EE" w:rsidRPr="00A4097B">
        <w:rPr>
          <w:rFonts w:ascii="Times New Roman" w:hAnsi="Times New Roman"/>
          <w:sz w:val="20"/>
          <w:szCs w:val="20"/>
        </w:rPr>
        <w:t xml:space="preserve">Fonte: </w:t>
      </w:r>
      <w:r w:rsidR="00C80327" w:rsidRPr="00A4097B">
        <w:rPr>
          <w:rFonts w:ascii="Times New Roman" w:hAnsi="Times New Roman"/>
          <w:sz w:val="20"/>
          <w:szCs w:val="20"/>
        </w:rPr>
        <w:t xml:space="preserve">Souza </w:t>
      </w:r>
      <w:r w:rsidR="00C80327" w:rsidRPr="00A4097B">
        <w:rPr>
          <w:rFonts w:ascii="Times New Roman" w:hAnsi="Times New Roman"/>
          <w:i/>
          <w:sz w:val="20"/>
          <w:szCs w:val="20"/>
        </w:rPr>
        <w:t>et al.</w:t>
      </w:r>
      <w:r w:rsidR="00C80327" w:rsidRPr="00A4097B">
        <w:rPr>
          <w:rFonts w:ascii="Times New Roman" w:hAnsi="Times New Roman"/>
          <w:sz w:val="20"/>
          <w:szCs w:val="20"/>
        </w:rPr>
        <w:t xml:space="preserve"> (2015).</w:t>
      </w:r>
    </w:p>
    <w:p w14:paraId="464BC7E1" w14:textId="77777777" w:rsidR="00F52CC5" w:rsidRPr="00A065E0" w:rsidRDefault="00F52CC5" w:rsidP="008E7DAE">
      <w:pPr>
        <w:spacing w:after="0" w:line="240" w:lineRule="auto"/>
        <w:ind w:left="1134"/>
        <w:rPr>
          <w:rFonts w:ascii="Times New Roman" w:hAnsi="Times New Roman"/>
          <w:sz w:val="20"/>
          <w:szCs w:val="20"/>
        </w:rPr>
      </w:pPr>
    </w:p>
    <w:p w14:paraId="60EF7D21" w14:textId="320451E6" w:rsidR="00BC5ACF" w:rsidRDefault="00BA3DF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B837FD" w:rsidRPr="00A232C9">
        <w:rPr>
          <w:rFonts w:ascii="Times New Roman" w:hAnsi="Times New Roman"/>
          <w:sz w:val="24"/>
          <w:szCs w:val="24"/>
          <w:lang w:val="pt-BR"/>
        </w:rPr>
        <w:t xml:space="preserve">O </w:t>
      </w:r>
      <w:r w:rsidR="00D1330A" w:rsidRPr="00A232C9">
        <w:rPr>
          <w:rFonts w:ascii="Times New Roman" w:hAnsi="Times New Roman"/>
          <w:sz w:val="24"/>
          <w:szCs w:val="24"/>
          <w:lang w:val="pt-BR"/>
        </w:rPr>
        <w:t xml:space="preserve">cálculo do índice </w:t>
      </w:r>
      <w:r w:rsidR="009F4B3F" w:rsidRPr="00A232C9">
        <w:rPr>
          <w:rFonts w:ascii="Times New Roman" w:hAnsi="Times New Roman"/>
          <w:sz w:val="24"/>
          <w:szCs w:val="24"/>
          <w:lang w:val="pt-BR"/>
        </w:rPr>
        <w:t xml:space="preserve">H foi realizado por meio do </w:t>
      </w:r>
      <w:r w:rsidR="009F4B3F" w:rsidRPr="00A232C9">
        <w:rPr>
          <w:rFonts w:ascii="Times New Roman" w:hAnsi="Times New Roman"/>
          <w:i/>
          <w:sz w:val="24"/>
          <w:szCs w:val="24"/>
          <w:lang w:val="pt-BR"/>
        </w:rPr>
        <w:t>Microsoft Excel</w:t>
      </w:r>
      <w:r w:rsidR="003761F8" w:rsidRPr="00A232C9">
        <w:rPr>
          <w:rFonts w:ascii="Times New Roman" w:hAnsi="Times New Roman"/>
          <w:sz w:val="24"/>
          <w:szCs w:val="24"/>
          <w:lang w:val="pt-BR"/>
        </w:rPr>
        <w:t xml:space="preserve"> e o</w:t>
      </w:r>
      <w:r w:rsidR="009F4B3F" w:rsidRPr="00A232C9">
        <w:rPr>
          <w:rFonts w:ascii="Times New Roman" w:hAnsi="Times New Roman"/>
          <w:sz w:val="24"/>
          <w:szCs w:val="24"/>
          <w:lang w:val="pt-BR"/>
        </w:rPr>
        <w:t xml:space="preserve"> cálculo do índice </w:t>
      </w:r>
      <w:r w:rsidR="00D1330A" w:rsidRPr="00A232C9">
        <w:rPr>
          <w:rFonts w:ascii="Times New Roman" w:hAnsi="Times New Roman"/>
          <w:sz w:val="24"/>
          <w:szCs w:val="24"/>
          <w:lang w:val="pt-BR"/>
        </w:rPr>
        <w:t xml:space="preserve">T foi realizado através do programa </w:t>
      </w:r>
      <w:r w:rsidR="00D1330A" w:rsidRPr="00A232C9">
        <w:rPr>
          <w:rFonts w:ascii="Times New Roman" w:hAnsi="Times New Roman"/>
          <w:i/>
          <w:sz w:val="24"/>
          <w:szCs w:val="24"/>
          <w:lang w:val="pt-BR"/>
        </w:rPr>
        <w:t>T-Index</w:t>
      </w:r>
      <w:r w:rsidR="00FA324B" w:rsidRPr="00A232C9">
        <w:rPr>
          <w:rFonts w:ascii="Times New Roman" w:hAnsi="Times New Roman"/>
          <w:i/>
          <w:sz w:val="24"/>
          <w:szCs w:val="24"/>
          <w:lang w:val="pt-BR"/>
        </w:rPr>
        <w:t xml:space="preserve"> </w:t>
      </w:r>
      <w:r w:rsidR="00D1330A" w:rsidRPr="00A232C9">
        <w:rPr>
          <w:rFonts w:ascii="Times New Roman" w:hAnsi="Times New Roman"/>
          <w:i/>
          <w:sz w:val="24"/>
          <w:szCs w:val="24"/>
          <w:lang w:val="pt-BR"/>
        </w:rPr>
        <w:t>Calculator</w:t>
      </w:r>
      <w:r w:rsidR="00D1330A" w:rsidRPr="00A232C9">
        <w:rPr>
          <w:rFonts w:ascii="Times New Roman" w:hAnsi="Times New Roman"/>
          <w:sz w:val="24"/>
          <w:szCs w:val="24"/>
          <w:lang w:val="pt-BR"/>
        </w:rPr>
        <w:t xml:space="preserve">, disponibilizado pelo Professor Ross H. Taplin por endereço eletrônico. </w:t>
      </w:r>
      <w:r w:rsidR="00BC5ACF" w:rsidRPr="00A232C9">
        <w:rPr>
          <w:rFonts w:ascii="Times New Roman" w:hAnsi="Times New Roman"/>
          <w:sz w:val="24"/>
          <w:szCs w:val="24"/>
          <w:lang w:val="pt-BR"/>
        </w:rPr>
        <w:t>Foram</w:t>
      </w:r>
      <w:r w:rsidR="00B837FD" w:rsidRPr="00A232C9">
        <w:rPr>
          <w:rFonts w:ascii="Times New Roman" w:hAnsi="Times New Roman"/>
          <w:sz w:val="24"/>
          <w:szCs w:val="24"/>
          <w:lang w:val="pt-BR"/>
        </w:rPr>
        <w:t xml:space="preserve"> utilizadas as segui</w:t>
      </w:r>
      <w:bookmarkStart w:id="0" w:name="_GoBack"/>
      <w:bookmarkEnd w:id="0"/>
      <w:r w:rsidR="00B837FD" w:rsidRPr="00A232C9">
        <w:rPr>
          <w:rFonts w:ascii="Times New Roman" w:hAnsi="Times New Roman"/>
          <w:sz w:val="24"/>
          <w:szCs w:val="24"/>
          <w:lang w:val="pt-BR"/>
        </w:rPr>
        <w:t>ntes opções</w:t>
      </w:r>
      <w:r w:rsidR="009F4B3F" w:rsidRPr="00A232C9">
        <w:rPr>
          <w:rFonts w:ascii="Times New Roman" w:hAnsi="Times New Roman"/>
          <w:sz w:val="24"/>
          <w:szCs w:val="24"/>
          <w:lang w:val="pt-BR"/>
        </w:rPr>
        <w:t xml:space="preserve"> para o cálculo do índice T</w:t>
      </w:r>
      <w:r w:rsidR="00B837FD" w:rsidRPr="00A232C9">
        <w:rPr>
          <w:rFonts w:ascii="Times New Roman" w:hAnsi="Times New Roman"/>
          <w:sz w:val="24"/>
          <w:szCs w:val="24"/>
          <w:lang w:val="pt-BR"/>
        </w:rPr>
        <w:t xml:space="preserve">: </w:t>
      </w:r>
      <w:r w:rsidR="00BC5ACF" w:rsidRPr="00A232C9">
        <w:rPr>
          <w:rFonts w:ascii="Times New Roman" w:hAnsi="Times New Roman"/>
          <w:sz w:val="24"/>
          <w:szCs w:val="24"/>
          <w:lang w:val="pt-BR"/>
        </w:rPr>
        <w:t xml:space="preserve">1 </w:t>
      </w:r>
      <w:r w:rsidR="00B837FD" w:rsidRPr="00A232C9">
        <w:rPr>
          <w:rFonts w:ascii="Times New Roman" w:hAnsi="Times New Roman"/>
          <w:sz w:val="24"/>
          <w:szCs w:val="24"/>
          <w:lang w:val="pt-BR"/>
        </w:rPr>
        <w:t xml:space="preserve">(b) ponderação empresa/país: os países são ponderados </w:t>
      </w:r>
      <w:r w:rsidR="00BC5ACF" w:rsidRPr="00A232C9">
        <w:rPr>
          <w:rFonts w:ascii="Times New Roman" w:hAnsi="Times New Roman"/>
          <w:sz w:val="24"/>
          <w:szCs w:val="24"/>
          <w:lang w:val="pt-BR"/>
        </w:rPr>
        <w:t>igualmente</w:t>
      </w:r>
      <w:r w:rsidR="00B837FD" w:rsidRPr="00A232C9">
        <w:rPr>
          <w:rFonts w:ascii="Times New Roman" w:hAnsi="Times New Roman"/>
          <w:sz w:val="24"/>
          <w:szCs w:val="24"/>
          <w:lang w:val="pt-BR"/>
        </w:rPr>
        <w:t>; 2</w:t>
      </w:r>
      <w:r w:rsidR="00BC5ACF" w:rsidRPr="00A232C9">
        <w:rPr>
          <w:rFonts w:ascii="Times New Roman" w:hAnsi="Times New Roman"/>
          <w:sz w:val="24"/>
          <w:szCs w:val="24"/>
          <w:lang w:val="pt-BR"/>
        </w:rPr>
        <w:t xml:space="preserve"> </w:t>
      </w:r>
      <w:r w:rsidR="00B837FD" w:rsidRPr="00A232C9">
        <w:rPr>
          <w:rFonts w:ascii="Times New Roman" w:hAnsi="Times New Roman"/>
          <w:sz w:val="24"/>
          <w:szCs w:val="24"/>
          <w:lang w:val="pt-BR"/>
        </w:rPr>
        <w:t>(a) foco internacional: comparações são realizadas entre todas companhias independentemente de seu p</w:t>
      </w:r>
      <w:r w:rsidR="00BC5ACF" w:rsidRPr="00A232C9">
        <w:rPr>
          <w:rFonts w:ascii="Times New Roman" w:hAnsi="Times New Roman"/>
          <w:sz w:val="24"/>
          <w:szCs w:val="24"/>
          <w:lang w:val="pt-BR"/>
        </w:rPr>
        <w:t>aí</w:t>
      </w:r>
      <w:r w:rsidR="00B837FD" w:rsidRPr="00A232C9">
        <w:rPr>
          <w:rFonts w:ascii="Times New Roman" w:hAnsi="Times New Roman"/>
          <w:sz w:val="24"/>
          <w:szCs w:val="24"/>
          <w:lang w:val="pt-BR"/>
        </w:rPr>
        <w:t>s; 3</w:t>
      </w:r>
      <w:r w:rsidR="00BC5ACF" w:rsidRPr="00A232C9">
        <w:rPr>
          <w:rFonts w:ascii="Times New Roman" w:hAnsi="Times New Roman"/>
          <w:sz w:val="24"/>
          <w:szCs w:val="24"/>
          <w:lang w:val="pt-BR"/>
        </w:rPr>
        <w:t xml:space="preserve"> </w:t>
      </w:r>
      <w:r w:rsidR="00B837FD" w:rsidRPr="00A232C9">
        <w:rPr>
          <w:rFonts w:ascii="Times New Roman" w:hAnsi="Times New Roman"/>
          <w:sz w:val="24"/>
          <w:szCs w:val="24"/>
          <w:lang w:val="pt-BR"/>
        </w:rPr>
        <w:t xml:space="preserve">(a) diversas políticas contábeis: </w:t>
      </w:r>
      <w:r w:rsidR="00CE1DE0" w:rsidRPr="00A232C9">
        <w:rPr>
          <w:rFonts w:ascii="Times New Roman" w:hAnsi="Times New Roman"/>
          <w:sz w:val="24"/>
          <w:szCs w:val="24"/>
          <w:lang w:val="pt-BR"/>
        </w:rPr>
        <w:t>múltiplas políticas contábeis não são permitidas já que são comparáveis apenas com elas mesmas; e na etapa 4 foram escolhidas as opções (a), (b) e (c) que geraram três diferentes abordagens do índice T que serão analisadas no estudo</w:t>
      </w:r>
      <w:r w:rsidR="00E279C7" w:rsidRPr="00A232C9">
        <w:rPr>
          <w:rFonts w:ascii="Times New Roman" w:hAnsi="Times New Roman"/>
          <w:sz w:val="24"/>
          <w:szCs w:val="24"/>
          <w:lang w:val="pt-BR"/>
        </w:rPr>
        <w:t xml:space="preserve"> (</w:t>
      </w:r>
      <w:r w:rsidR="00052A5F">
        <w:rPr>
          <w:rFonts w:ascii="Times New Roman" w:hAnsi="Times New Roman"/>
          <w:sz w:val="24"/>
          <w:szCs w:val="24"/>
          <w:lang w:val="pt-BR"/>
        </w:rPr>
        <w:t>TAPLIN</w:t>
      </w:r>
      <w:r w:rsidR="00E279C7" w:rsidRPr="00A232C9">
        <w:rPr>
          <w:rFonts w:ascii="Times New Roman" w:hAnsi="Times New Roman"/>
          <w:sz w:val="24"/>
          <w:szCs w:val="24"/>
          <w:lang w:val="pt-BR"/>
        </w:rPr>
        <w:t>, 2004)</w:t>
      </w:r>
      <w:r w:rsidR="00CE1DE0" w:rsidRPr="00A232C9">
        <w:rPr>
          <w:rFonts w:ascii="Times New Roman" w:hAnsi="Times New Roman"/>
          <w:sz w:val="24"/>
          <w:szCs w:val="24"/>
          <w:lang w:val="pt-BR"/>
        </w:rPr>
        <w:t>.</w:t>
      </w:r>
      <w:r w:rsidR="00B837FD" w:rsidRPr="00A232C9">
        <w:rPr>
          <w:rFonts w:ascii="Times New Roman" w:hAnsi="Times New Roman"/>
          <w:sz w:val="24"/>
          <w:szCs w:val="24"/>
          <w:lang w:val="pt-BR"/>
        </w:rPr>
        <w:t xml:space="preserve"> </w:t>
      </w:r>
      <w:r w:rsidR="00BC5ACF" w:rsidRPr="00A232C9">
        <w:rPr>
          <w:rFonts w:ascii="Times New Roman" w:hAnsi="Times New Roman"/>
          <w:sz w:val="24"/>
          <w:szCs w:val="24"/>
          <w:lang w:val="pt-BR"/>
        </w:rPr>
        <w:t xml:space="preserve">É importante destacar que as opções escolhidas nas etapas 1 e 2 não influenciam o cálculo do índice </w:t>
      </w:r>
      <w:r w:rsidR="00DB0D07" w:rsidRPr="00A232C9">
        <w:rPr>
          <w:rFonts w:ascii="Times New Roman" w:hAnsi="Times New Roman"/>
          <w:sz w:val="24"/>
          <w:szCs w:val="24"/>
          <w:lang w:val="pt-BR"/>
        </w:rPr>
        <w:t>em razão de ter sido</w:t>
      </w:r>
      <w:r w:rsidR="00BC5ACF" w:rsidRPr="00A232C9">
        <w:rPr>
          <w:rFonts w:ascii="Times New Roman" w:hAnsi="Times New Roman"/>
          <w:sz w:val="24"/>
          <w:szCs w:val="24"/>
          <w:lang w:val="pt-BR"/>
        </w:rPr>
        <w:t xml:space="preserve"> utilizado apenas um país na pesquisa.</w:t>
      </w:r>
    </w:p>
    <w:p w14:paraId="17EBF70D" w14:textId="77777777" w:rsidR="008E7DAE" w:rsidRPr="00A232C9" w:rsidRDefault="008E7DAE" w:rsidP="008E7DAE">
      <w:pPr>
        <w:spacing w:after="0" w:line="240" w:lineRule="auto"/>
        <w:jc w:val="both"/>
        <w:rPr>
          <w:rFonts w:ascii="Times New Roman" w:hAnsi="Times New Roman"/>
          <w:sz w:val="24"/>
          <w:szCs w:val="24"/>
          <w:lang w:val="pt-BR"/>
        </w:rPr>
      </w:pPr>
    </w:p>
    <w:p w14:paraId="5EA04037" w14:textId="77777777" w:rsidR="00277B12" w:rsidRDefault="00277B12" w:rsidP="008E7DAE">
      <w:pPr>
        <w:pStyle w:val="PargrafodaLista"/>
        <w:numPr>
          <w:ilvl w:val="0"/>
          <w:numId w:val="4"/>
        </w:numPr>
        <w:spacing w:after="0"/>
        <w:rPr>
          <w:rFonts w:ascii="Times New Roman" w:hAnsi="Times New Roman"/>
          <w:b/>
          <w:sz w:val="24"/>
          <w:szCs w:val="24"/>
        </w:rPr>
      </w:pPr>
      <w:r w:rsidRPr="00A232C9">
        <w:rPr>
          <w:rFonts w:ascii="Times New Roman" w:hAnsi="Times New Roman"/>
          <w:b/>
          <w:sz w:val="24"/>
          <w:szCs w:val="24"/>
        </w:rPr>
        <w:t>ANÁLISE DOS RESULTADOS</w:t>
      </w:r>
    </w:p>
    <w:p w14:paraId="527162EC" w14:textId="77777777" w:rsidR="008E7DAE" w:rsidRPr="00A232C9" w:rsidRDefault="008E7DAE" w:rsidP="008E7DAE">
      <w:pPr>
        <w:pStyle w:val="PargrafodaLista"/>
        <w:spacing w:after="0"/>
        <w:ind w:left="360"/>
        <w:rPr>
          <w:rFonts w:ascii="Times New Roman" w:hAnsi="Times New Roman"/>
          <w:b/>
          <w:sz w:val="24"/>
          <w:szCs w:val="24"/>
        </w:rPr>
      </w:pPr>
    </w:p>
    <w:p w14:paraId="44CC6708" w14:textId="2AAC0CEA" w:rsidR="00277B12" w:rsidRPr="00AB358A" w:rsidRDefault="00230640" w:rsidP="008E7DAE">
      <w:pPr>
        <w:pStyle w:val="PargrafodaLista"/>
        <w:numPr>
          <w:ilvl w:val="1"/>
          <w:numId w:val="17"/>
        </w:numPr>
        <w:spacing w:after="0"/>
        <w:rPr>
          <w:rFonts w:ascii="Times New Roman" w:hAnsi="Times New Roman"/>
          <w:sz w:val="24"/>
          <w:szCs w:val="24"/>
        </w:rPr>
      </w:pPr>
      <w:r w:rsidRPr="00AB358A">
        <w:rPr>
          <w:rFonts w:ascii="Times New Roman" w:hAnsi="Times New Roman"/>
          <w:sz w:val="24"/>
          <w:szCs w:val="24"/>
        </w:rPr>
        <w:t>M</w:t>
      </w:r>
      <w:r w:rsidR="00AB358A">
        <w:rPr>
          <w:rFonts w:ascii="Times New Roman" w:hAnsi="Times New Roman"/>
          <w:sz w:val="24"/>
          <w:szCs w:val="24"/>
        </w:rPr>
        <w:t>ÉTODOS DE MENSURAÇÃO EM PROPRIEDADES PARA INVESTIMENTO</w:t>
      </w:r>
    </w:p>
    <w:p w14:paraId="70996AB5" w14:textId="4FEBDD85" w:rsidR="00DE1F3B" w:rsidRDefault="006C6C0B"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As empresas da amostra, </w:t>
      </w:r>
      <w:r w:rsidR="00FA324B" w:rsidRPr="00A232C9">
        <w:rPr>
          <w:rFonts w:ascii="Times New Roman" w:hAnsi="Times New Roman"/>
          <w:sz w:val="24"/>
          <w:szCs w:val="24"/>
          <w:lang w:val="pt-BR"/>
        </w:rPr>
        <w:t>correspondentes</w:t>
      </w:r>
      <w:r w:rsidRPr="00A232C9">
        <w:rPr>
          <w:rFonts w:ascii="Times New Roman" w:hAnsi="Times New Roman"/>
          <w:sz w:val="24"/>
          <w:szCs w:val="24"/>
          <w:lang w:val="pt-BR"/>
        </w:rPr>
        <w:t xml:space="preserve"> àquelas presentes na BM&amp;FBOVESPA que apresentaram saldos para as</w:t>
      </w:r>
      <w:r w:rsidR="00D07FF2" w:rsidRPr="00A232C9">
        <w:rPr>
          <w:rFonts w:ascii="Times New Roman" w:hAnsi="Times New Roman"/>
          <w:sz w:val="24"/>
          <w:szCs w:val="24"/>
          <w:lang w:val="pt-BR"/>
        </w:rPr>
        <w:t xml:space="preserve"> </w:t>
      </w:r>
      <w:r w:rsidR="002E6B3A">
        <w:rPr>
          <w:rFonts w:ascii="Times New Roman" w:hAnsi="Times New Roman"/>
          <w:sz w:val="24"/>
          <w:szCs w:val="24"/>
          <w:lang w:val="pt-BR"/>
        </w:rPr>
        <w:t>PPI</w:t>
      </w:r>
      <w:r w:rsidR="00897B3F" w:rsidRPr="00A232C9">
        <w:rPr>
          <w:rFonts w:ascii="Times New Roman" w:hAnsi="Times New Roman"/>
          <w:sz w:val="24"/>
          <w:szCs w:val="24"/>
          <w:lang w:val="pt-BR"/>
        </w:rPr>
        <w:t xml:space="preserve"> </w:t>
      </w:r>
      <w:r w:rsidRPr="00A232C9">
        <w:rPr>
          <w:rFonts w:ascii="Times New Roman" w:hAnsi="Times New Roman"/>
          <w:sz w:val="24"/>
          <w:szCs w:val="24"/>
          <w:lang w:val="pt-BR"/>
        </w:rPr>
        <w:t>no exercíco social de 2015, foram inicialmente analisadas quanto ao método de mensuração</w:t>
      </w:r>
      <w:r w:rsidR="000D5775" w:rsidRPr="00A232C9">
        <w:rPr>
          <w:rFonts w:ascii="Times New Roman" w:hAnsi="Times New Roman"/>
          <w:sz w:val="24"/>
          <w:szCs w:val="24"/>
          <w:lang w:val="pt-BR"/>
        </w:rPr>
        <w:t>.</w:t>
      </w:r>
      <w:r w:rsidRPr="00A232C9">
        <w:rPr>
          <w:rFonts w:ascii="Times New Roman" w:hAnsi="Times New Roman"/>
          <w:sz w:val="24"/>
          <w:szCs w:val="24"/>
          <w:lang w:val="pt-BR"/>
        </w:rPr>
        <w:t xml:space="preserve"> </w:t>
      </w:r>
      <w:r w:rsidR="000D5775" w:rsidRPr="00A232C9">
        <w:rPr>
          <w:rFonts w:ascii="Times New Roman" w:hAnsi="Times New Roman"/>
          <w:sz w:val="24"/>
          <w:szCs w:val="24"/>
          <w:lang w:val="pt-BR"/>
        </w:rPr>
        <w:t xml:space="preserve">A Tabela </w:t>
      </w:r>
      <w:r w:rsidR="00AA2A72">
        <w:rPr>
          <w:rFonts w:ascii="Times New Roman" w:hAnsi="Times New Roman"/>
          <w:sz w:val="24"/>
          <w:szCs w:val="24"/>
          <w:lang w:val="pt-BR"/>
        </w:rPr>
        <w:t>3</w:t>
      </w:r>
      <w:r w:rsidR="00DD268A" w:rsidRPr="00A232C9">
        <w:rPr>
          <w:rFonts w:ascii="Times New Roman" w:hAnsi="Times New Roman"/>
          <w:sz w:val="24"/>
          <w:szCs w:val="24"/>
          <w:lang w:val="pt-BR"/>
        </w:rPr>
        <w:t xml:space="preserve"> </w:t>
      </w:r>
      <w:r w:rsidR="000D5775" w:rsidRPr="00A232C9">
        <w:rPr>
          <w:rFonts w:ascii="Times New Roman" w:hAnsi="Times New Roman"/>
          <w:sz w:val="24"/>
          <w:szCs w:val="24"/>
          <w:lang w:val="pt-BR"/>
        </w:rPr>
        <w:t>expõe a quantidade de empresas por setor que optaram pelo</w:t>
      </w:r>
      <w:r w:rsidRPr="00A232C9">
        <w:rPr>
          <w:rFonts w:ascii="Times New Roman" w:hAnsi="Times New Roman"/>
          <w:sz w:val="24"/>
          <w:szCs w:val="24"/>
          <w:lang w:val="pt-BR"/>
        </w:rPr>
        <w:t xml:space="preserve"> método de custo, método do valor justo </w:t>
      </w:r>
      <w:r w:rsidR="000D5775" w:rsidRPr="00A232C9">
        <w:rPr>
          <w:rFonts w:ascii="Times New Roman" w:hAnsi="Times New Roman"/>
          <w:sz w:val="24"/>
          <w:szCs w:val="24"/>
          <w:lang w:val="pt-BR"/>
        </w:rPr>
        <w:t>ou não divulgaram o método.</w:t>
      </w:r>
      <w:r w:rsidR="00DE1F3B" w:rsidRPr="00A232C9">
        <w:rPr>
          <w:rFonts w:ascii="Times New Roman" w:hAnsi="Times New Roman"/>
          <w:sz w:val="24"/>
          <w:szCs w:val="24"/>
          <w:lang w:val="pt-BR"/>
        </w:rPr>
        <w:t xml:space="preserve"> </w:t>
      </w:r>
    </w:p>
    <w:p w14:paraId="1056BCCB"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489F8290" w14:textId="77777777" w:rsidR="00805623" w:rsidRPr="00A4097B" w:rsidRDefault="00805623" w:rsidP="008E7DAE">
      <w:pPr>
        <w:pStyle w:val="Legenda"/>
        <w:keepNext/>
        <w:spacing w:after="0"/>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t xml:space="preserve">Tabela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Tabela \* ARABIC </w:instrText>
      </w:r>
      <w:r w:rsidRPr="00A4097B">
        <w:rPr>
          <w:rFonts w:ascii="Times New Roman" w:hAnsi="Times New Roman"/>
          <w:b w:val="0"/>
          <w:color w:val="auto"/>
          <w:sz w:val="20"/>
          <w:szCs w:val="20"/>
        </w:rPr>
        <w:fldChar w:fldCharType="separate"/>
      </w:r>
      <w:r w:rsidR="00AA2A72">
        <w:rPr>
          <w:rFonts w:ascii="Times New Roman" w:hAnsi="Times New Roman"/>
          <w:b w:val="0"/>
          <w:color w:val="auto"/>
          <w:sz w:val="20"/>
          <w:szCs w:val="20"/>
          <w:lang w:val="pt-BR"/>
        </w:rPr>
        <w:t>3</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w:t>
      </w:r>
      <w:r w:rsidR="008323AB" w:rsidRPr="00A4097B">
        <w:rPr>
          <w:rFonts w:ascii="Times New Roman" w:hAnsi="Times New Roman"/>
          <w:b w:val="0"/>
          <w:color w:val="auto"/>
          <w:sz w:val="20"/>
          <w:szCs w:val="20"/>
          <w:lang w:val="pt-BR"/>
        </w:rPr>
        <w:t>– Método de Mensuração</w:t>
      </w:r>
      <w:r w:rsidR="00A95859" w:rsidRPr="00A4097B">
        <w:rPr>
          <w:rFonts w:ascii="Times New Roman" w:hAnsi="Times New Roman"/>
          <w:b w:val="0"/>
          <w:color w:val="auto"/>
          <w:sz w:val="20"/>
          <w:szCs w:val="20"/>
          <w:lang w:val="pt-BR"/>
        </w:rPr>
        <w:t xml:space="preserve"> das </w:t>
      </w:r>
      <w:r w:rsidR="00030B7C" w:rsidRPr="00A4097B">
        <w:rPr>
          <w:rFonts w:ascii="Times New Roman" w:hAnsi="Times New Roman"/>
          <w:b w:val="0"/>
          <w:color w:val="auto"/>
          <w:sz w:val="20"/>
          <w:szCs w:val="20"/>
          <w:lang w:val="pt-BR"/>
        </w:rPr>
        <w:t>PPI</w:t>
      </w:r>
      <w:r w:rsidR="00A95859" w:rsidRPr="00A4097B">
        <w:rPr>
          <w:rFonts w:ascii="Times New Roman" w:hAnsi="Times New Roman"/>
          <w:b w:val="0"/>
          <w:color w:val="auto"/>
          <w:sz w:val="20"/>
          <w:szCs w:val="20"/>
          <w:lang w:val="pt-BR"/>
        </w:rPr>
        <w:t xml:space="preserve"> em 2015</w:t>
      </w:r>
    </w:p>
    <w:tbl>
      <w:tblPr>
        <w:tblW w:w="8764"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9"/>
        <w:gridCol w:w="641"/>
        <w:gridCol w:w="607"/>
        <w:gridCol w:w="1235"/>
        <w:gridCol w:w="703"/>
        <w:gridCol w:w="1513"/>
        <w:gridCol w:w="640"/>
        <w:gridCol w:w="596"/>
      </w:tblGrid>
      <w:tr w:rsidR="00193255" w:rsidRPr="00A4097B" w14:paraId="390D8663" w14:textId="77777777" w:rsidTr="00DD268A">
        <w:trPr>
          <w:trHeight w:val="227"/>
          <w:jc w:val="center"/>
        </w:trPr>
        <w:tc>
          <w:tcPr>
            <w:tcW w:w="2829" w:type="dxa"/>
            <w:shd w:val="clear" w:color="000000" w:fill="DDD9C4"/>
            <w:vAlign w:val="center"/>
            <w:hideMark/>
          </w:tcPr>
          <w:p w14:paraId="2A609BDD"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Setor</w:t>
            </w:r>
          </w:p>
        </w:tc>
        <w:tc>
          <w:tcPr>
            <w:tcW w:w="641" w:type="dxa"/>
            <w:shd w:val="clear" w:color="000000" w:fill="DDD9C4"/>
            <w:vAlign w:val="center"/>
            <w:hideMark/>
          </w:tcPr>
          <w:p w14:paraId="5748470C"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Custo</w:t>
            </w:r>
          </w:p>
        </w:tc>
        <w:tc>
          <w:tcPr>
            <w:tcW w:w="607" w:type="dxa"/>
            <w:shd w:val="clear" w:color="000000" w:fill="DDD9C4"/>
            <w:vAlign w:val="center"/>
          </w:tcPr>
          <w:p w14:paraId="0ADA886E"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w:t>
            </w:r>
          </w:p>
        </w:tc>
        <w:tc>
          <w:tcPr>
            <w:tcW w:w="1235" w:type="dxa"/>
            <w:shd w:val="clear" w:color="000000" w:fill="DDD9C4"/>
            <w:vAlign w:val="center"/>
            <w:hideMark/>
          </w:tcPr>
          <w:p w14:paraId="7CB09B1B"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Valor Justo</w:t>
            </w:r>
          </w:p>
        </w:tc>
        <w:tc>
          <w:tcPr>
            <w:tcW w:w="703" w:type="dxa"/>
            <w:shd w:val="clear" w:color="000000" w:fill="DDD9C4"/>
            <w:vAlign w:val="center"/>
          </w:tcPr>
          <w:p w14:paraId="1E3B4F06"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w:t>
            </w:r>
          </w:p>
        </w:tc>
        <w:tc>
          <w:tcPr>
            <w:tcW w:w="1513" w:type="dxa"/>
            <w:shd w:val="clear" w:color="000000" w:fill="DDD9C4"/>
            <w:vAlign w:val="center"/>
            <w:hideMark/>
          </w:tcPr>
          <w:p w14:paraId="64536887" w14:textId="38B9A0C3"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Não Divulgado</w:t>
            </w:r>
          </w:p>
        </w:tc>
        <w:tc>
          <w:tcPr>
            <w:tcW w:w="640" w:type="dxa"/>
            <w:shd w:val="clear" w:color="000000" w:fill="DDD9C4"/>
            <w:vAlign w:val="center"/>
          </w:tcPr>
          <w:p w14:paraId="6EDDEA97"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w:t>
            </w:r>
          </w:p>
        </w:tc>
        <w:tc>
          <w:tcPr>
            <w:tcW w:w="596" w:type="dxa"/>
            <w:shd w:val="clear" w:color="000000" w:fill="DDD9C4"/>
            <w:vAlign w:val="center"/>
          </w:tcPr>
          <w:p w14:paraId="527DA41B"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Total</w:t>
            </w:r>
          </w:p>
        </w:tc>
      </w:tr>
      <w:tr w:rsidR="00193255" w:rsidRPr="00A4097B" w14:paraId="34CB7D98" w14:textId="77777777" w:rsidTr="00DD268A">
        <w:trPr>
          <w:trHeight w:val="227"/>
          <w:jc w:val="center"/>
        </w:trPr>
        <w:tc>
          <w:tcPr>
            <w:tcW w:w="2829" w:type="dxa"/>
            <w:shd w:val="clear" w:color="auto" w:fill="auto"/>
            <w:noWrap/>
            <w:vAlign w:val="center"/>
            <w:hideMark/>
          </w:tcPr>
          <w:p w14:paraId="56E950FD"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Bens Industriais</w:t>
            </w:r>
          </w:p>
        </w:tc>
        <w:tc>
          <w:tcPr>
            <w:tcW w:w="641" w:type="dxa"/>
            <w:shd w:val="clear" w:color="auto" w:fill="auto"/>
            <w:noWrap/>
            <w:vAlign w:val="center"/>
            <w:hideMark/>
          </w:tcPr>
          <w:p w14:paraId="4FD4EF9F"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4</w:t>
            </w:r>
            <w:proofErr w:type="gramEnd"/>
          </w:p>
        </w:tc>
        <w:tc>
          <w:tcPr>
            <w:tcW w:w="607" w:type="dxa"/>
            <w:vAlign w:val="center"/>
          </w:tcPr>
          <w:p w14:paraId="36F98E5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36%</w:t>
            </w:r>
          </w:p>
        </w:tc>
        <w:tc>
          <w:tcPr>
            <w:tcW w:w="1235" w:type="dxa"/>
            <w:shd w:val="clear" w:color="auto" w:fill="auto"/>
            <w:noWrap/>
            <w:vAlign w:val="center"/>
            <w:hideMark/>
          </w:tcPr>
          <w:p w14:paraId="1ED56DF4"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6</w:t>
            </w:r>
            <w:proofErr w:type="gramEnd"/>
          </w:p>
        </w:tc>
        <w:tc>
          <w:tcPr>
            <w:tcW w:w="703" w:type="dxa"/>
            <w:vAlign w:val="center"/>
          </w:tcPr>
          <w:p w14:paraId="7CE7E9C7"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55%</w:t>
            </w:r>
          </w:p>
        </w:tc>
        <w:tc>
          <w:tcPr>
            <w:tcW w:w="1513" w:type="dxa"/>
            <w:shd w:val="clear" w:color="auto" w:fill="auto"/>
            <w:noWrap/>
            <w:vAlign w:val="center"/>
            <w:hideMark/>
          </w:tcPr>
          <w:p w14:paraId="680063B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640" w:type="dxa"/>
            <w:vAlign w:val="center"/>
          </w:tcPr>
          <w:p w14:paraId="71FE370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9%</w:t>
            </w:r>
          </w:p>
        </w:tc>
        <w:tc>
          <w:tcPr>
            <w:tcW w:w="596" w:type="dxa"/>
            <w:vAlign w:val="center"/>
          </w:tcPr>
          <w:p w14:paraId="4091CF53"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r w:rsidRPr="00A4097B">
              <w:rPr>
                <w:rFonts w:ascii="Times New Roman" w:eastAsia="Times New Roman" w:hAnsi="Times New Roman"/>
                <w:b/>
                <w:noProof w:val="0"/>
                <w:sz w:val="20"/>
                <w:szCs w:val="20"/>
                <w:lang w:val="pt-BR" w:eastAsia="pt-BR"/>
              </w:rPr>
              <w:t>11</w:t>
            </w:r>
          </w:p>
        </w:tc>
      </w:tr>
      <w:tr w:rsidR="00193255" w:rsidRPr="00A4097B" w14:paraId="0D0E50A9" w14:textId="77777777" w:rsidTr="00DD268A">
        <w:trPr>
          <w:trHeight w:val="227"/>
          <w:jc w:val="center"/>
        </w:trPr>
        <w:tc>
          <w:tcPr>
            <w:tcW w:w="2829" w:type="dxa"/>
            <w:shd w:val="clear" w:color="auto" w:fill="auto"/>
            <w:noWrap/>
            <w:vAlign w:val="center"/>
            <w:hideMark/>
          </w:tcPr>
          <w:p w14:paraId="7D9DECE8"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Cíclico</w:t>
            </w:r>
          </w:p>
        </w:tc>
        <w:tc>
          <w:tcPr>
            <w:tcW w:w="641" w:type="dxa"/>
            <w:shd w:val="clear" w:color="auto" w:fill="auto"/>
            <w:noWrap/>
            <w:vAlign w:val="center"/>
            <w:hideMark/>
          </w:tcPr>
          <w:p w14:paraId="2E96856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5</w:t>
            </w:r>
            <w:proofErr w:type="gramEnd"/>
          </w:p>
        </w:tc>
        <w:tc>
          <w:tcPr>
            <w:tcW w:w="607" w:type="dxa"/>
            <w:vAlign w:val="center"/>
          </w:tcPr>
          <w:p w14:paraId="5F899E42"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25%</w:t>
            </w:r>
          </w:p>
        </w:tc>
        <w:tc>
          <w:tcPr>
            <w:tcW w:w="1235" w:type="dxa"/>
            <w:shd w:val="clear" w:color="auto" w:fill="auto"/>
            <w:noWrap/>
            <w:vAlign w:val="center"/>
            <w:hideMark/>
          </w:tcPr>
          <w:p w14:paraId="3D8926E3"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9</w:t>
            </w:r>
            <w:proofErr w:type="gramEnd"/>
          </w:p>
        </w:tc>
        <w:tc>
          <w:tcPr>
            <w:tcW w:w="703" w:type="dxa"/>
            <w:vAlign w:val="center"/>
          </w:tcPr>
          <w:p w14:paraId="51A5B54B"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45%</w:t>
            </w:r>
          </w:p>
        </w:tc>
        <w:tc>
          <w:tcPr>
            <w:tcW w:w="1513" w:type="dxa"/>
            <w:shd w:val="clear" w:color="auto" w:fill="auto"/>
            <w:noWrap/>
            <w:vAlign w:val="center"/>
            <w:hideMark/>
          </w:tcPr>
          <w:p w14:paraId="5D28EE7D"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6</w:t>
            </w:r>
            <w:proofErr w:type="gramEnd"/>
          </w:p>
        </w:tc>
        <w:tc>
          <w:tcPr>
            <w:tcW w:w="640" w:type="dxa"/>
            <w:vAlign w:val="center"/>
          </w:tcPr>
          <w:p w14:paraId="06520F0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30%</w:t>
            </w:r>
          </w:p>
        </w:tc>
        <w:tc>
          <w:tcPr>
            <w:tcW w:w="596" w:type="dxa"/>
            <w:vAlign w:val="center"/>
          </w:tcPr>
          <w:p w14:paraId="15162175"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r w:rsidRPr="00A4097B">
              <w:rPr>
                <w:rFonts w:ascii="Times New Roman" w:eastAsia="Times New Roman" w:hAnsi="Times New Roman"/>
                <w:b/>
                <w:noProof w:val="0"/>
                <w:sz w:val="20"/>
                <w:szCs w:val="20"/>
                <w:lang w:val="pt-BR" w:eastAsia="pt-BR"/>
              </w:rPr>
              <w:t>20</w:t>
            </w:r>
          </w:p>
        </w:tc>
      </w:tr>
      <w:tr w:rsidR="00193255" w:rsidRPr="00A4097B" w14:paraId="48EF44A4" w14:textId="77777777" w:rsidTr="00DD268A">
        <w:trPr>
          <w:trHeight w:val="227"/>
          <w:jc w:val="center"/>
        </w:trPr>
        <w:tc>
          <w:tcPr>
            <w:tcW w:w="2829" w:type="dxa"/>
            <w:shd w:val="clear" w:color="auto" w:fill="auto"/>
            <w:noWrap/>
            <w:vAlign w:val="center"/>
            <w:hideMark/>
          </w:tcPr>
          <w:p w14:paraId="79391DFC"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Não Cíclico</w:t>
            </w:r>
          </w:p>
        </w:tc>
        <w:tc>
          <w:tcPr>
            <w:tcW w:w="641" w:type="dxa"/>
            <w:shd w:val="clear" w:color="auto" w:fill="auto"/>
            <w:noWrap/>
            <w:vAlign w:val="center"/>
            <w:hideMark/>
          </w:tcPr>
          <w:p w14:paraId="1F404E6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3</w:t>
            </w:r>
            <w:proofErr w:type="gramEnd"/>
          </w:p>
        </w:tc>
        <w:tc>
          <w:tcPr>
            <w:tcW w:w="607" w:type="dxa"/>
            <w:vAlign w:val="center"/>
          </w:tcPr>
          <w:p w14:paraId="010C70A8"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43%</w:t>
            </w:r>
          </w:p>
        </w:tc>
        <w:tc>
          <w:tcPr>
            <w:tcW w:w="1235" w:type="dxa"/>
            <w:shd w:val="clear" w:color="auto" w:fill="auto"/>
            <w:noWrap/>
            <w:vAlign w:val="center"/>
            <w:hideMark/>
          </w:tcPr>
          <w:p w14:paraId="554A8917"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4</w:t>
            </w:r>
            <w:proofErr w:type="gramEnd"/>
          </w:p>
        </w:tc>
        <w:tc>
          <w:tcPr>
            <w:tcW w:w="703" w:type="dxa"/>
            <w:vAlign w:val="center"/>
          </w:tcPr>
          <w:p w14:paraId="277A09B4"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57%</w:t>
            </w:r>
          </w:p>
        </w:tc>
        <w:tc>
          <w:tcPr>
            <w:tcW w:w="1513" w:type="dxa"/>
            <w:shd w:val="clear" w:color="auto" w:fill="auto"/>
            <w:noWrap/>
            <w:vAlign w:val="center"/>
            <w:hideMark/>
          </w:tcPr>
          <w:p w14:paraId="0FD3153C"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640" w:type="dxa"/>
            <w:vAlign w:val="center"/>
          </w:tcPr>
          <w:p w14:paraId="2FE26648"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596" w:type="dxa"/>
            <w:vAlign w:val="center"/>
          </w:tcPr>
          <w:p w14:paraId="1B7A9693"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7</w:t>
            </w:r>
            <w:proofErr w:type="gramEnd"/>
          </w:p>
        </w:tc>
      </w:tr>
      <w:tr w:rsidR="00193255" w:rsidRPr="00A4097B" w14:paraId="05ECF90E" w14:textId="77777777" w:rsidTr="00DD268A">
        <w:trPr>
          <w:trHeight w:val="227"/>
          <w:jc w:val="center"/>
        </w:trPr>
        <w:tc>
          <w:tcPr>
            <w:tcW w:w="2829" w:type="dxa"/>
            <w:shd w:val="clear" w:color="auto" w:fill="auto"/>
            <w:noWrap/>
            <w:vAlign w:val="center"/>
            <w:hideMark/>
          </w:tcPr>
          <w:p w14:paraId="1E292D1C"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Financeiro e Outros</w:t>
            </w:r>
          </w:p>
        </w:tc>
        <w:tc>
          <w:tcPr>
            <w:tcW w:w="641" w:type="dxa"/>
            <w:shd w:val="clear" w:color="auto" w:fill="auto"/>
            <w:noWrap/>
            <w:vAlign w:val="center"/>
            <w:hideMark/>
          </w:tcPr>
          <w:p w14:paraId="2CB4435F"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14</w:t>
            </w:r>
          </w:p>
        </w:tc>
        <w:tc>
          <w:tcPr>
            <w:tcW w:w="607" w:type="dxa"/>
            <w:vAlign w:val="center"/>
          </w:tcPr>
          <w:p w14:paraId="1A894FD5"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54%</w:t>
            </w:r>
          </w:p>
        </w:tc>
        <w:tc>
          <w:tcPr>
            <w:tcW w:w="1235" w:type="dxa"/>
            <w:shd w:val="clear" w:color="auto" w:fill="auto"/>
            <w:noWrap/>
            <w:vAlign w:val="center"/>
            <w:hideMark/>
          </w:tcPr>
          <w:p w14:paraId="20C85A53"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w:t>
            </w:r>
          </w:p>
        </w:tc>
        <w:tc>
          <w:tcPr>
            <w:tcW w:w="703" w:type="dxa"/>
            <w:vAlign w:val="center"/>
          </w:tcPr>
          <w:p w14:paraId="413DE19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38%</w:t>
            </w:r>
          </w:p>
        </w:tc>
        <w:tc>
          <w:tcPr>
            <w:tcW w:w="1513" w:type="dxa"/>
            <w:shd w:val="clear" w:color="auto" w:fill="auto"/>
            <w:noWrap/>
            <w:vAlign w:val="center"/>
            <w:hideMark/>
          </w:tcPr>
          <w:p w14:paraId="7E053E77"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640" w:type="dxa"/>
            <w:vAlign w:val="center"/>
          </w:tcPr>
          <w:p w14:paraId="2A3A53CB"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8%</w:t>
            </w:r>
          </w:p>
        </w:tc>
        <w:tc>
          <w:tcPr>
            <w:tcW w:w="596" w:type="dxa"/>
            <w:vAlign w:val="center"/>
          </w:tcPr>
          <w:p w14:paraId="1AAD5044"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r w:rsidRPr="00A4097B">
              <w:rPr>
                <w:rFonts w:ascii="Times New Roman" w:eastAsia="Times New Roman" w:hAnsi="Times New Roman"/>
                <w:b/>
                <w:noProof w:val="0"/>
                <w:sz w:val="20"/>
                <w:szCs w:val="20"/>
                <w:lang w:val="pt-BR" w:eastAsia="pt-BR"/>
              </w:rPr>
              <w:t>26</w:t>
            </w:r>
          </w:p>
        </w:tc>
      </w:tr>
      <w:tr w:rsidR="00193255" w:rsidRPr="00A4097B" w14:paraId="296001E1" w14:textId="77777777" w:rsidTr="00DD268A">
        <w:trPr>
          <w:trHeight w:val="227"/>
          <w:jc w:val="center"/>
        </w:trPr>
        <w:tc>
          <w:tcPr>
            <w:tcW w:w="2829" w:type="dxa"/>
            <w:shd w:val="clear" w:color="auto" w:fill="auto"/>
            <w:noWrap/>
            <w:vAlign w:val="center"/>
            <w:hideMark/>
          </w:tcPr>
          <w:p w14:paraId="6F1B31F9"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Materiais Básicos</w:t>
            </w:r>
          </w:p>
        </w:tc>
        <w:tc>
          <w:tcPr>
            <w:tcW w:w="641" w:type="dxa"/>
            <w:shd w:val="clear" w:color="auto" w:fill="auto"/>
            <w:noWrap/>
            <w:vAlign w:val="center"/>
            <w:hideMark/>
          </w:tcPr>
          <w:p w14:paraId="01591DE3"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607" w:type="dxa"/>
            <w:vAlign w:val="center"/>
          </w:tcPr>
          <w:p w14:paraId="52DC4DD4"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40%</w:t>
            </w:r>
          </w:p>
        </w:tc>
        <w:tc>
          <w:tcPr>
            <w:tcW w:w="1235" w:type="dxa"/>
            <w:shd w:val="clear" w:color="auto" w:fill="auto"/>
            <w:noWrap/>
            <w:vAlign w:val="center"/>
            <w:hideMark/>
          </w:tcPr>
          <w:p w14:paraId="68A298FA"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703" w:type="dxa"/>
            <w:vAlign w:val="center"/>
          </w:tcPr>
          <w:p w14:paraId="40D3A7C1"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40%</w:t>
            </w:r>
          </w:p>
        </w:tc>
        <w:tc>
          <w:tcPr>
            <w:tcW w:w="1513" w:type="dxa"/>
            <w:shd w:val="clear" w:color="auto" w:fill="auto"/>
            <w:noWrap/>
            <w:vAlign w:val="center"/>
            <w:hideMark/>
          </w:tcPr>
          <w:p w14:paraId="12D7776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640" w:type="dxa"/>
            <w:vAlign w:val="center"/>
          </w:tcPr>
          <w:p w14:paraId="6F0C473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20%</w:t>
            </w:r>
          </w:p>
        </w:tc>
        <w:tc>
          <w:tcPr>
            <w:tcW w:w="596" w:type="dxa"/>
            <w:vAlign w:val="center"/>
          </w:tcPr>
          <w:p w14:paraId="4513F30D"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5</w:t>
            </w:r>
            <w:proofErr w:type="gramEnd"/>
          </w:p>
        </w:tc>
      </w:tr>
      <w:tr w:rsidR="00193255" w:rsidRPr="00A4097B" w14:paraId="2348A2CD" w14:textId="77777777" w:rsidTr="00DD268A">
        <w:trPr>
          <w:trHeight w:val="227"/>
          <w:jc w:val="center"/>
        </w:trPr>
        <w:tc>
          <w:tcPr>
            <w:tcW w:w="2829" w:type="dxa"/>
            <w:shd w:val="clear" w:color="auto" w:fill="auto"/>
            <w:noWrap/>
            <w:vAlign w:val="center"/>
            <w:hideMark/>
          </w:tcPr>
          <w:p w14:paraId="6334EB81"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 xml:space="preserve">Petróleo, Gás e </w:t>
            </w:r>
            <w:proofErr w:type="gramStart"/>
            <w:r w:rsidRPr="00A4097B">
              <w:rPr>
                <w:rFonts w:ascii="Times New Roman" w:eastAsia="Times New Roman" w:hAnsi="Times New Roman"/>
                <w:noProof w:val="0"/>
                <w:sz w:val="20"/>
                <w:szCs w:val="20"/>
                <w:lang w:val="pt-BR" w:eastAsia="pt-BR"/>
              </w:rPr>
              <w:t>Biocombustíveis</w:t>
            </w:r>
            <w:proofErr w:type="gramEnd"/>
          </w:p>
        </w:tc>
        <w:tc>
          <w:tcPr>
            <w:tcW w:w="641" w:type="dxa"/>
            <w:shd w:val="clear" w:color="auto" w:fill="auto"/>
            <w:noWrap/>
            <w:vAlign w:val="center"/>
            <w:hideMark/>
          </w:tcPr>
          <w:p w14:paraId="003B9AB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607" w:type="dxa"/>
            <w:vAlign w:val="center"/>
          </w:tcPr>
          <w:p w14:paraId="09AC2D9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1235" w:type="dxa"/>
            <w:shd w:val="clear" w:color="auto" w:fill="auto"/>
            <w:noWrap/>
            <w:vAlign w:val="center"/>
            <w:hideMark/>
          </w:tcPr>
          <w:p w14:paraId="2D5CAC2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703" w:type="dxa"/>
            <w:vAlign w:val="center"/>
          </w:tcPr>
          <w:p w14:paraId="574631C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513" w:type="dxa"/>
            <w:shd w:val="clear" w:color="auto" w:fill="auto"/>
            <w:noWrap/>
            <w:vAlign w:val="center"/>
            <w:hideMark/>
          </w:tcPr>
          <w:p w14:paraId="3AF0580D"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640" w:type="dxa"/>
            <w:vAlign w:val="center"/>
          </w:tcPr>
          <w:p w14:paraId="316EC81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596" w:type="dxa"/>
            <w:vAlign w:val="center"/>
          </w:tcPr>
          <w:p w14:paraId="01FEB3E9"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2</w:t>
            </w:r>
            <w:proofErr w:type="gramEnd"/>
          </w:p>
        </w:tc>
      </w:tr>
      <w:tr w:rsidR="00193255" w:rsidRPr="00A4097B" w14:paraId="1405D0D7" w14:textId="77777777" w:rsidTr="00DD268A">
        <w:trPr>
          <w:trHeight w:val="227"/>
          <w:jc w:val="center"/>
        </w:trPr>
        <w:tc>
          <w:tcPr>
            <w:tcW w:w="2829" w:type="dxa"/>
            <w:shd w:val="clear" w:color="auto" w:fill="auto"/>
            <w:noWrap/>
            <w:vAlign w:val="center"/>
            <w:hideMark/>
          </w:tcPr>
          <w:p w14:paraId="349A4BF2"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Saúde</w:t>
            </w:r>
          </w:p>
        </w:tc>
        <w:tc>
          <w:tcPr>
            <w:tcW w:w="641" w:type="dxa"/>
            <w:shd w:val="clear" w:color="auto" w:fill="auto"/>
            <w:noWrap/>
            <w:vAlign w:val="center"/>
            <w:hideMark/>
          </w:tcPr>
          <w:p w14:paraId="1E60599C"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607" w:type="dxa"/>
            <w:vAlign w:val="center"/>
          </w:tcPr>
          <w:p w14:paraId="715A6F37"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33%</w:t>
            </w:r>
          </w:p>
        </w:tc>
        <w:tc>
          <w:tcPr>
            <w:tcW w:w="1235" w:type="dxa"/>
            <w:shd w:val="clear" w:color="auto" w:fill="auto"/>
            <w:noWrap/>
            <w:vAlign w:val="center"/>
            <w:hideMark/>
          </w:tcPr>
          <w:p w14:paraId="35697E01"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703" w:type="dxa"/>
            <w:vAlign w:val="center"/>
          </w:tcPr>
          <w:p w14:paraId="2B13AAE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1513" w:type="dxa"/>
            <w:shd w:val="clear" w:color="auto" w:fill="auto"/>
            <w:noWrap/>
            <w:vAlign w:val="center"/>
            <w:hideMark/>
          </w:tcPr>
          <w:p w14:paraId="2C9139A3"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640" w:type="dxa"/>
            <w:vAlign w:val="center"/>
          </w:tcPr>
          <w:p w14:paraId="5A5CFF8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67%</w:t>
            </w:r>
          </w:p>
        </w:tc>
        <w:tc>
          <w:tcPr>
            <w:tcW w:w="596" w:type="dxa"/>
            <w:vAlign w:val="center"/>
          </w:tcPr>
          <w:p w14:paraId="3CC2B0CF"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3</w:t>
            </w:r>
            <w:proofErr w:type="gramEnd"/>
          </w:p>
        </w:tc>
      </w:tr>
      <w:tr w:rsidR="00193255" w:rsidRPr="00A4097B" w14:paraId="2B6B880C" w14:textId="77777777" w:rsidTr="00DD268A">
        <w:trPr>
          <w:trHeight w:val="227"/>
          <w:jc w:val="center"/>
        </w:trPr>
        <w:tc>
          <w:tcPr>
            <w:tcW w:w="2829" w:type="dxa"/>
            <w:shd w:val="clear" w:color="auto" w:fill="auto"/>
            <w:noWrap/>
            <w:vAlign w:val="center"/>
            <w:hideMark/>
          </w:tcPr>
          <w:p w14:paraId="3E298134"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Tecnologia da Informação</w:t>
            </w:r>
          </w:p>
        </w:tc>
        <w:tc>
          <w:tcPr>
            <w:tcW w:w="641" w:type="dxa"/>
            <w:shd w:val="clear" w:color="auto" w:fill="auto"/>
            <w:noWrap/>
            <w:vAlign w:val="center"/>
            <w:hideMark/>
          </w:tcPr>
          <w:p w14:paraId="594E6B1A"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607" w:type="dxa"/>
            <w:vAlign w:val="center"/>
          </w:tcPr>
          <w:p w14:paraId="306F9BAA"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235" w:type="dxa"/>
            <w:shd w:val="clear" w:color="auto" w:fill="auto"/>
            <w:noWrap/>
            <w:vAlign w:val="center"/>
            <w:hideMark/>
          </w:tcPr>
          <w:p w14:paraId="44B38CB8"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703" w:type="dxa"/>
            <w:vAlign w:val="center"/>
          </w:tcPr>
          <w:p w14:paraId="372A3F05"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1513" w:type="dxa"/>
            <w:shd w:val="clear" w:color="auto" w:fill="auto"/>
            <w:noWrap/>
            <w:vAlign w:val="center"/>
            <w:hideMark/>
          </w:tcPr>
          <w:p w14:paraId="6AC063ED"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640" w:type="dxa"/>
            <w:vAlign w:val="center"/>
          </w:tcPr>
          <w:p w14:paraId="71C67561"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596" w:type="dxa"/>
            <w:vAlign w:val="center"/>
          </w:tcPr>
          <w:p w14:paraId="6591F4DC"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1</w:t>
            </w:r>
            <w:proofErr w:type="gramEnd"/>
          </w:p>
        </w:tc>
      </w:tr>
      <w:tr w:rsidR="00193255" w:rsidRPr="00A4097B" w14:paraId="60EBE370" w14:textId="77777777" w:rsidTr="00DD268A">
        <w:trPr>
          <w:trHeight w:val="227"/>
          <w:jc w:val="center"/>
        </w:trPr>
        <w:tc>
          <w:tcPr>
            <w:tcW w:w="2829" w:type="dxa"/>
            <w:shd w:val="clear" w:color="auto" w:fill="auto"/>
            <w:noWrap/>
            <w:vAlign w:val="center"/>
            <w:hideMark/>
          </w:tcPr>
          <w:p w14:paraId="574EEBF4"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Telecomunicações</w:t>
            </w:r>
          </w:p>
        </w:tc>
        <w:tc>
          <w:tcPr>
            <w:tcW w:w="641" w:type="dxa"/>
            <w:shd w:val="clear" w:color="auto" w:fill="auto"/>
            <w:noWrap/>
            <w:vAlign w:val="center"/>
            <w:hideMark/>
          </w:tcPr>
          <w:p w14:paraId="09BEE74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607" w:type="dxa"/>
            <w:vAlign w:val="center"/>
          </w:tcPr>
          <w:p w14:paraId="7BBC51E1"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235" w:type="dxa"/>
            <w:shd w:val="clear" w:color="auto" w:fill="auto"/>
            <w:noWrap/>
            <w:vAlign w:val="center"/>
            <w:hideMark/>
          </w:tcPr>
          <w:p w14:paraId="029E2DF0"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703" w:type="dxa"/>
            <w:vAlign w:val="center"/>
          </w:tcPr>
          <w:p w14:paraId="0954F3C8"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1513" w:type="dxa"/>
            <w:shd w:val="clear" w:color="auto" w:fill="auto"/>
            <w:noWrap/>
            <w:vAlign w:val="center"/>
            <w:hideMark/>
          </w:tcPr>
          <w:p w14:paraId="1B18FDDA"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640" w:type="dxa"/>
            <w:vAlign w:val="center"/>
          </w:tcPr>
          <w:p w14:paraId="28CF558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596" w:type="dxa"/>
            <w:vAlign w:val="center"/>
          </w:tcPr>
          <w:p w14:paraId="3510CF42"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proofErr w:type="gramStart"/>
            <w:r w:rsidRPr="00A4097B">
              <w:rPr>
                <w:rFonts w:ascii="Times New Roman" w:eastAsia="Times New Roman" w:hAnsi="Times New Roman"/>
                <w:b/>
                <w:noProof w:val="0"/>
                <w:sz w:val="20"/>
                <w:szCs w:val="20"/>
                <w:lang w:val="pt-BR" w:eastAsia="pt-BR"/>
              </w:rPr>
              <w:t>1</w:t>
            </w:r>
            <w:proofErr w:type="gramEnd"/>
          </w:p>
        </w:tc>
      </w:tr>
      <w:tr w:rsidR="00193255" w:rsidRPr="00A4097B" w14:paraId="39265C50" w14:textId="77777777" w:rsidTr="00DD268A">
        <w:trPr>
          <w:trHeight w:val="227"/>
          <w:jc w:val="center"/>
        </w:trPr>
        <w:tc>
          <w:tcPr>
            <w:tcW w:w="2829" w:type="dxa"/>
            <w:shd w:val="clear" w:color="auto" w:fill="auto"/>
            <w:noWrap/>
            <w:vAlign w:val="center"/>
            <w:hideMark/>
          </w:tcPr>
          <w:p w14:paraId="54813AAE"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Utilidade Pública</w:t>
            </w:r>
          </w:p>
        </w:tc>
        <w:tc>
          <w:tcPr>
            <w:tcW w:w="641" w:type="dxa"/>
            <w:shd w:val="clear" w:color="auto" w:fill="auto"/>
            <w:noWrap/>
            <w:vAlign w:val="center"/>
            <w:hideMark/>
          </w:tcPr>
          <w:p w14:paraId="7CB51873"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5</w:t>
            </w:r>
            <w:proofErr w:type="gramEnd"/>
          </w:p>
        </w:tc>
        <w:tc>
          <w:tcPr>
            <w:tcW w:w="607" w:type="dxa"/>
            <w:vAlign w:val="center"/>
          </w:tcPr>
          <w:p w14:paraId="4A77DB8D"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33%</w:t>
            </w:r>
          </w:p>
        </w:tc>
        <w:tc>
          <w:tcPr>
            <w:tcW w:w="1235" w:type="dxa"/>
            <w:shd w:val="clear" w:color="auto" w:fill="auto"/>
            <w:noWrap/>
            <w:vAlign w:val="center"/>
            <w:hideMark/>
          </w:tcPr>
          <w:p w14:paraId="732EA01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703" w:type="dxa"/>
            <w:vAlign w:val="center"/>
          </w:tcPr>
          <w:p w14:paraId="5EC07376"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w:t>
            </w:r>
          </w:p>
        </w:tc>
        <w:tc>
          <w:tcPr>
            <w:tcW w:w="1513" w:type="dxa"/>
            <w:shd w:val="clear" w:color="auto" w:fill="auto"/>
            <w:noWrap/>
            <w:vAlign w:val="center"/>
            <w:hideMark/>
          </w:tcPr>
          <w:p w14:paraId="181A5F4B"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w:t>
            </w:r>
          </w:p>
        </w:tc>
        <w:tc>
          <w:tcPr>
            <w:tcW w:w="640" w:type="dxa"/>
            <w:vAlign w:val="center"/>
          </w:tcPr>
          <w:p w14:paraId="46C68987" w14:textId="77777777" w:rsidR="00DD635D" w:rsidRPr="00A4097B" w:rsidRDefault="00DD635D"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67%</w:t>
            </w:r>
          </w:p>
        </w:tc>
        <w:tc>
          <w:tcPr>
            <w:tcW w:w="596" w:type="dxa"/>
            <w:vAlign w:val="center"/>
          </w:tcPr>
          <w:p w14:paraId="4996CC3F" w14:textId="77777777" w:rsidR="00DD635D" w:rsidRPr="00A4097B" w:rsidRDefault="00DD635D" w:rsidP="008E7DAE">
            <w:pPr>
              <w:spacing w:after="0" w:line="240" w:lineRule="auto"/>
              <w:jc w:val="center"/>
              <w:rPr>
                <w:rFonts w:ascii="Times New Roman" w:eastAsia="Times New Roman" w:hAnsi="Times New Roman"/>
                <w:b/>
                <w:noProof w:val="0"/>
                <w:sz w:val="20"/>
                <w:szCs w:val="20"/>
                <w:lang w:val="pt-BR" w:eastAsia="pt-BR"/>
              </w:rPr>
            </w:pPr>
            <w:r w:rsidRPr="00A4097B">
              <w:rPr>
                <w:rFonts w:ascii="Times New Roman" w:eastAsia="Times New Roman" w:hAnsi="Times New Roman"/>
                <w:b/>
                <w:noProof w:val="0"/>
                <w:sz w:val="20"/>
                <w:szCs w:val="20"/>
                <w:lang w:val="pt-BR" w:eastAsia="pt-BR"/>
              </w:rPr>
              <w:t>15</w:t>
            </w:r>
          </w:p>
        </w:tc>
      </w:tr>
      <w:tr w:rsidR="00193255" w:rsidRPr="00A4097B" w14:paraId="12692A53" w14:textId="77777777" w:rsidTr="00DD268A">
        <w:trPr>
          <w:trHeight w:val="227"/>
          <w:jc w:val="center"/>
        </w:trPr>
        <w:tc>
          <w:tcPr>
            <w:tcW w:w="2829" w:type="dxa"/>
            <w:shd w:val="clear" w:color="000000" w:fill="DDD9C4"/>
            <w:noWrap/>
            <w:vAlign w:val="center"/>
            <w:hideMark/>
          </w:tcPr>
          <w:p w14:paraId="0FB03139"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Total</w:t>
            </w:r>
          </w:p>
        </w:tc>
        <w:tc>
          <w:tcPr>
            <w:tcW w:w="641" w:type="dxa"/>
            <w:shd w:val="clear" w:color="000000" w:fill="DDD9C4"/>
            <w:noWrap/>
            <w:vAlign w:val="center"/>
            <w:hideMark/>
          </w:tcPr>
          <w:p w14:paraId="755D081C"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36</w:t>
            </w:r>
          </w:p>
        </w:tc>
        <w:tc>
          <w:tcPr>
            <w:tcW w:w="607" w:type="dxa"/>
            <w:shd w:val="clear" w:color="000000" w:fill="DDD9C4"/>
            <w:vAlign w:val="center"/>
          </w:tcPr>
          <w:p w14:paraId="0D0D010D"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40%</w:t>
            </w:r>
          </w:p>
        </w:tc>
        <w:tc>
          <w:tcPr>
            <w:tcW w:w="1235" w:type="dxa"/>
            <w:shd w:val="clear" w:color="000000" w:fill="DDD9C4"/>
            <w:noWrap/>
            <w:vAlign w:val="center"/>
            <w:hideMark/>
          </w:tcPr>
          <w:p w14:paraId="46EE1255"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33</w:t>
            </w:r>
          </w:p>
        </w:tc>
        <w:tc>
          <w:tcPr>
            <w:tcW w:w="703" w:type="dxa"/>
            <w:shd w:val="clear" w:color="000000" w:fill="DDD9C4"/>
            <w:vAlign w:val="center"/>
          </w:tcPr>
          <w:p w14:paraId="36423314"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36%</w:t>
            </w:r>
          </w:p>
        </w:tc>
        <w:tc>
          <w:tcPr>
            <w:tcW w:w="1513" w:type="dxa"/>
            <w:shd w:val="clear" w:color="000000" w:fill="DDD9C4"/>
            <w:noWrap/>
            <w:vAlign w:val="center"/>
            <w:hideMark/>
          </w:tcPr>
          <w:p w14:paraId="24AE44D5"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22</w:t>
            </w:r>
          </w:p>
        </w:tc>
        <w:tc>
          <w:tcPr>
            <w:tcW w:w="640" w:type="dxa"/>
            <w:shd w:val="clear" w:color="000000" w:fill="DDD9C4"/>
            <w:vAlign w:val="center"/>
          </w:tcPr>
          <w:p w14:paraId="4C936C8E"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24%</w:t>
            </w:r>
          </w:p>
        </w:tc>
        <w:tc>
          <w:tcPr>
            <w:tcW w:w="596" w:type="dxa"/>
            <w:shd w:val="clear" w:color="000000" w:fill="DDD9C4"/>
            <w:vAlign w:val="center"/>
          </w:tcPr>
          <w:p w14:paraId="4EB860DF" w14:textId="77777777" w:rsidR="00DD635D" w:rsidRPr="00A4097B" w:rsidRDefault="00DD635D"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91</w:t>
            </w:r>
          </w:p>
        </w:tc>
      </w:tr>
    </w:tbl>
    <w:p w14:paraId="6789676D" w14:textId="77777777" w:rsidR="003735A7" w:rsidRDefault="003735A7" w:rsidP="008E7DAE">
      <w:pPr>
        <w:spacing w:after="0" w:line="240" w:lineRule="auto"/>
        <w:rPr>
          <w:rFonts w:ascii="Times New Roman" w:hAnsi="Times New Roman"/>
          <w:sz w:val="20"/>
          <w:szCs w:val="20"/>
        </w:rPr>
      </w:pPr>
      <w:r w:rsidRPr="00A4097B">
        <w:rPr>
          <w:rFonts w:ascii="Times New Roman" w:hAnsi="Times New Roman"/>
          <w:sz w:val="20"/>
          <w:szCs w:val="20"/>
        </w:rPr>
        <w:t>Fonte: Elaborado pelos autores.</w:t>
      </w:r>
    </w:p>
    <w:p w14:paraId="6A957137" w14:textId="77777777" w:rsidR="004F54B0" w:rsidRPr="00A065E0" w:rsidRDefault="004F54B0" w:rsidP="008E7DAE">
      <w:pPr>
        <w:spacing w:after="0" w:line="240" w:lineRule="auto"/>
        <w:rPr>
          <w:rFonts w:ascii="Times New Roman" w:hAnsi="Times New Roman"/>
          <w:sz w:val="20"/>
          <w:szCs w:val="20"/>
        </w:rPr>
      </w:pPr>
    </w:p>
    <w:p w14:paraId="1D51A00F" w14:textId="16562A4F" w:rsidR="00DE1F3B" w:rsidRPr="00A232C9" w:rsidRDefault="00DE1F3B" w:rsidP="00AA2A72">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É</w:t>
      </w:r>
      <w:r w:rsidR="00AA2A72">
        <w:rPr>
          <w:rFonts w:ascii="Times New Roman" w:hAnsi="Times New Roman"/>
          <w:sz w:val="24"/>
          <w:szCs w:val="24"/>
          <w:lang w:val="pt-BR"/>
        </w:rPr>
        <w:t xml:space="preserve"> possível verificar, na Tabela 3</w:t>
      </w:r>
      <w:r w:rsidRPr="00A232C9">
        <w:rPr>
          <w:rFonts w:ascii="Times New Roman" w:hAnsi="Times New Roman"/>
          <w:sz w:val="24"/>
          <w:szCs w:val="24"/>
          <w:lang w:val="pt-BR"/>
        </w:rPr>
        <w:t>, que as empresas dos setores de Tecnologia da Informação e Telecomunicações aplicaram 100% o método de custo. Porém, como cada setor engloba apenas uma empresa, esta informação não é relevante para o estudo. O setor Financeiro e Outros contou com 14 empresas optantes pelo método de custo dentre 26 analisadas. Ou seja, 54% das empresas escolheram o método. O fato pode ser explicado já que este setor inclui os segmentos relacionados à exploração imobiliária, foco de outros estudos como o de Kolozsvari</w:t>
      </w:r>
      <w:r w:rsidR="00052A5F">
        <w:rPr>
          <w:rFonts w:ascii="Times New Roman" w:hAnsi="Times New Roman"/>
          <w:sz w:val="24"/>
          <w:szCs w:val="24"/>
          <w:lang w:val="pt-BR"/>
        </w:rPr>
        <w:t xml:space="preserve">, </w:t>
      </w:r>
      <w:r w:rsidR="00052A5F" w:rsidRPr="00A232C9">
        <w:rPr>
          <w:rFonts w:ascii="Times New Roman" w:hAnsi="Times New Roman"/>
          <w:sz w:val="24"/>
          <w:szCs w:val="24"/>
          <w:lang w:val="pt-BR"/>
        </w:rPr>
        <w:t xml:space="preserve">Marques e Macedo </w:t>
      </w:r>
      <w:r w:rsidRPr="00A232C9">
        <w:rPr>
          <w:rFonts w:ascii="Times New Roman" w:hAnsi="Times New Roman"/>
          <w:sz w:val="24"/>
          <w:szCs w:val="24"/>
          <w:lang w:val="pt-BR"/>
        </w:rPr>
        <w:t>(2014). Este setor é o que possui maior número de empresas da amostra estudada (26) e também o maior número de empresas que aplicaram o método de custo (14).</w:t>
      </w:r>
    </w:p>
    <w:p w14:paraId="5F7622A9" w14:textId="54632314" w:rsidR="00277B12" w:rsidRPr="00A232C9" w:rsidRDefault="00E51B7B"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lastRenderedPageBreak/>
        <w:t xml:space="preserve">Analisando as empresas que aplicaram o valor justo, constata-se que 100% das empresas do setor de Petróleo, Gás e Biocombustíveis – </w:t>
      </w:r>
      <w:r w:rsidR="00DC666B" w:rsidRPr="00A232C9">
        <w:rPr>
          <w:rFonts w:ascii="Times New Roman" w:hAnsi="Times New Roman"/>
          <w:sz w:val="24"/>
          <w:szCs w:val="24"/>
          <w:lang w:val="pt-BR"/>
        </w:rPr>
        <w:t>que abrange</w:t>
      </w:r>
      <w:r w:rsidRPr="00A232C9">
        <w:rPr>
          <w:rFonts w:ascii="Times New Roman" w:hAnsi="Times New Roman"/>
          <w:sz w:val="24"/>
          <w:szCs w:val="24"/>
          <w:lang w:val="pt-BR"/>
        </w:rPr>
        <w:t xml:space="preserve"> </w:t>
      </w:r>
      <w:r w:rsidR="00351A80" w:rsidRPr="00A232C9">
        <w:rPr>
          <w:rFonts w:ascii="Times New Roman" w:hAnsi="Times New Roman"/>
          <w:sz w:val="24"/>
          <w:szCs w:val="24"/>
          <w:lang w:val="pt-BR"/>
        </w:rPr>
        <w:t>duas</w:t>
      </w:r>
      <w:r w:rsidRPr="00A232C9">
        <w:rPr>
          <w:rFonts w:ascii="Times New Roman" w:hAnsi="Times New Roman"/>
          <w:sz w:val="24"/>
          <w:szCs w:val="24"/>
          <w:lang w:val="pt-BR"/>
        </w:rPr>
        <w:t xml:space="preserve"> empresas – optaram por este método. Nota-se também que </w:t>
      </w:r>
      <w:r w:rsidR="003735A7" w:rsidRPr="00A232C9">
        <w:rPr>
          <w:rFonts w:ascii="Times New Roman" w:hAnsi="Times New Roman"/>
          <w:sz w:val="24"/>
          <w:szCs w:val="24"/>
          <w:lang w:val="pt-BR"/>
        </w:rPr>
        <w:t>a</w:t>
      </w:r>
      <w:r w:rsidRPr="00A232C9">
        <w:rPr>
          <w:rFonts w:ascii="Times New Roman" w:hAnsi="Times New Roman"/>
          <w:sz w:val="24"/>
          <w:szCs w:val="24"/>
          <w:lang w:val="pt-BR"/>
        </w:rPr>
        <w:t xml:space="preserve">quelas pertencentes ao setor de Saúde e Utilidade Pública não utilizam este método de mensuração e </w:t>
      </w:r>
      <w:r w:rsidR="006A220D" w:rsidRPr="00A232C9">
        <w:rPr>
          <w:rFonts w:ascii="Times New Roman" w:hAnsi="Times New Roman"/>
          <w:sz w:val="24"/>
          <w:szCs w:val="24"/>
          <w:lang w:val="pt-BR"/>
        </w:rPr>
        <w:t>suas alíquotas</w:t>
      </w:r>
      <w:r w:rsidRPr="00A232C9">
        <w:rPr>
          <w:rFonts w:ascii="Times New Roman" w:hAnsi="Times New Roman"/>
          <w:sz w:val="24"/>
          <w:szCs w:val="24"/>
          <w:lang w:val="pt-BR"/>
        </w:rPr>
        <w:t xml:space="preserve"> de não divulgação do m</w:t>
      </w:r>
      <w:r w:rsidR="006A220D" w:rsidRPr="00A232C9">
        <w:rPr>
          <w:rFonts w:ascii="Times New Roman" w:hAnsi="Times New Roman"/>
          <w:sz w:val="24"/>
          <w:szCs w:val="24"/>
          <w:lang w:val="pt-BR"/>
        </w:rPr>
        <w:t xml:space="preserve">étodo, </w:t>
      </w:r>
      <w:r w:rsidRPr="00A232C9">
        <w:rPr>
          <w:rFonts w:ascii="Times New Roman" w:hAnsi="Times New Roman"/>
          <w:sz w:val="24"/>
          <w:szCs w:val="24"/>
          <w:lang w:val="pt-BR"/>
        </w:rPr>
        <w:t>conforme o item 75 do CPC 28 (2009)</w:t>
      </w:r>
      <w:r w:rsidR="006A220D" w:rsidRPr="00A232C9">
        <w:rPr>
          <w:rFonts w:ascii="Times New Roman" w:hAnsi="Times New Roman"/>
          <w:sz w:val="24"/>
          <w:szCs w:val="24"/>
          <w:lang w:val="pt-BR"/>
        </w:rPr>
        <w:t>,</w:t>
      </w:r>
      <w:r w:rsidR="006849A1" w:rsidRPr="00A232C9">
        <w:rPr>
          <w:rFonts w:ascii="Times New Roman" w:hAnsi="Times New Roman"/>
          <w:sz w:val="24"/>
          <w:szCs w:val="24"/>
          <w:lang w:val="pt-BR"/>
        </w:rPr>
        <w:t xml:space="preserve"> foram as mais alta</w:t>
      </w:r>
      <w:r w:rsidRPr="00A232C9">
        <w:rPr>
          <w:rFonts w:ascii="Times New Roman" w:hAnsi="Times New Roman"/>
          <w:sz w:val="24"/>
          <w:szCs w:val="24"/>
          <w:lang w:val="pt-BR"/>
        </w:rPr>
        <w:t>s (67% das empresas da amostra do setor).</w:t>
      </w:r>
      <w:r w:rsidR="004535BE" w:rsidRPr="00A232C9">
        <w:rPr>
          <w:rFonts w:ascii="Times New Roman" w:hAnsi="Times New Roman"/>
          <w:sz w:val="24"/>
          <w:szCs w:val="24"/>
          <w:lang w:val="pt-BR"/>
        </w:rPr>
        <w:t xml:space="preserve"> Além disso, </w:t>
      </w:r>
      <w:r w:rsidR="00721DB2">
        <w:rPr>
          <w:rFonts w:ascii="Times New Roman" w:hAnsi="Times New Roman"/>
          <w:sz w:val="24"/>
          <w:szCs w:val="24"/>
          <w:lang w:val="pt-BR"/>
        </w:rPr>
        <w:t xml:space="preserve">verifica-se </w:t>
      </w:r>
      <w:r w:rsidR="004535BE" w:rsidRPr="00A232C9">
        <w:rPr>
          <w:rFonts w:ascii="Times New Roman" w:hAnsi="Times New Roman"/>
          <w:sz w:val="24"/>
          <w:szCs w:val="24"/>
          <w:lang w:val="pt-BR"/>
        </w:rPr>
        <w:t>que</w:t>
      </w:r>
      <w:r w:rsidR="008C176F" w:rsidRPr="00A232C9">
        <w:rPr>
          <w:rFonts w:ascii="Times New Roman" w:hAnsi="Times New Roman"/>
          <w:sz w:val="24"/>
          <w:szCs w:val="24"/>
          <w:lang w:val="pt-BR"/>
        </w:rPr>
        <w:t xml:space="preserve"> os setores de Bens Industriais, Consumo Cíclico,</w:t>
      </w:r>
      <w:r w:rsidR="004535BE" w:rsidRPr="00A232C9">
        <w:rPr>
          <w:rFonts w:ascii="Times New Roman" w:hAnsi="Times New Roman"/>
          <w:sz w:val="24"/>
          <w:szCs w:val="24"/>
          <w:lang w:val="pt-BR"/>
        </w:rPr>
        <w:t xml:space="preserve"> Consumo </w:t>
      </w:r>
      <w:r w:rsidR="00B22639">
        <w:rPr>
          <w:rFonts w:ascii="Times New Roman" w:hAnsi="Times New Roman"/>
          <w:sz w:val="24"/>
          <w:szCs w:val="24"/>
          <w:lang w:val="pt-BR"/>
        </w:rPr>
        <w:t>Não Cíclico</w:t>
      </w:r>
      <w:r w:rsidR="004535BE" w:rsidRPr="00A232C9">
        <w:rPr>
          <w:rFonts w:ascii="Times New Roman" w:hAnsi="Times New Roman"/>
          <w:sz w:val="24"/>
          <w:szCs w:val="24"/>
          <w:lang w:val="pt-BR"/>
        </w:rPr>
        <w:t xml:space="preserve"> e Petróleo, Gás e Biocombustíveis apresentaram mais empresas que escolheram como método de mensuração para as PPI o valor justo em relação ao custo.</w:t>
      </w:r>
      <w:r w:rsidR="006A220D" w:rsidRPr="00A232C9">
        <w:rPr>
          <w:rFonts w:ascii="Times New Roman" w:hAnsi="Times New Roman"/>
          <w:sz w:val="24"/>
          <w:szCs w:val="24"/>
          <w:lang w:val="pt-BR"/>
        </w:rPr>
        <w:t xml:space="preserve"> O setor de Materiais Básicos não </w:t>
      </w:r>
      <w:r w:rsidR="0038698D" w:rsidRPr="00A232C9">
        <w:rPr>
          <w:rFonts w:ascii="Times New Roman" w:hAnsi="Times New Roman"/>
          <w:sz w:val="24"/>
          <w:szCs w:val="24"/>
          <w:lang w:val="pt-BR"/>
        </w:rPr>
        <w:t xml:space="preserve">se </w:t>
      </w:r>
      <w:r w:rsidR="006A220D" w:rsidRPr="00A232C9">
        <w:rPr>
          <w:rFonts w:ascii="Times New Roman" w:hAnsi="Times New Roman"/>
          <w:sz w:val="24"/>
          <w:szCs w:val="24"/>
          <w:lang w:val="pt-BR"/>
        </w:rPr>
        <w:t>diferenciou com relação aos dois métodos.</w:t>
      </w:r>
    </w:p>
    <w:p w14:paraId="521C849C" w14:textId="4C4BC2A0" w:rsidR="008813F7" w:rsidRPr="00A232C9" w:rsidRDefault="003761F8"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No</w:t>
      </w:r>
      <w:r w:rsidR="00425E8F" w:rsidRPr="00A232C9">
        <w:rPr>
          <w:rFonts w:ascii="Times New Roman" w:hAnsi="Times New Roman"/>
          <w:sz w:val="24"/>
          <w:szCs w:val="24"/>
          <w:lang w:val="pt-BR"/>
        </w:rPr>
        <w:t xml:space="preserve"> estudo das empresas como um todo, desconsiderando os setores, observa-se que dentre um total de 91 empresas analisadas, 69 divulgaram e 22 não divulgaram o método escolhido para mensurar as PPI. Desta forma, 24% das empresas não cumprem o item 75</w:t>
      </w:r>
      <w:r w:rsidR="008D06CB" w:rsidRPr="00A232C9">
        <w:rPr>
          <w:rFonts w:ascii="Times New Roman" w:hAnsi="Times New Roman"/>
          <w:sz w:val="24"/>
          <w:szCs w:val="24"/>
          <w:lang w:val="pt-BR"/>
        </w:rPr>
        <w:t xml:space="preserve"> exposto pelo CPC 28 (2009) que</w:t>
      </w:r>
      <w:r w:rsidR="008450F4" w:rsidRPr="00A232C9">
        <w:rPr>
          <w:rFonts w:ascii="Times New Roman" w:hAnsi="Times New Roman"/>
          <w:sz w:val="24"/>
          <w:szCs w:val="24"/>
          <w:lang w:val="pt-BR"/>
        </w:rPr>
        <w:t xml:space="preserve"> aborda </w:t>
      </w:r>
      <w:r w:rsidR="00DE1F3B" w:rsidRPr="00A232C9">
        <w:rPr>
          <w:rFonts w:ascii="Times New Roman" w:hAnsi="Times New Roman"/>
          <w:sz w:val="24"/>
          <w:szCs w:val="24"/>
          <w:lang w:val="pt-BR"/>
        </w:rPr>
        <w:t xml:space="preserve">sobre </w:t>
      </w:r>
      <w:r w:rsidR="008450F4" w:rsidRPr="00A232C9">
        <w:rPr>
          <w:rFonts w:ascii="Times New Roman" w:hAnsi="Times New Roman"/>
          <w:sz w:val="24"/>
          <w:szCs w:val="24"/>
          <w:lang w:val="pt-BR"/>
        </w:rPr>
        <w:t>a obrigatoriedade d</w:t>
      </w:r>
      <w:r w:rsidR="00425E8F" w:rsidRPr="00A232C9">
        <w:rPr>
          <w:rFonts w:ascii="Times New Roman" w:hAnsi="Times New Roman"/>
          <w:sz w:val="24"/>
          <w:szCs w:val="24"/>
          <w:lang w:val="pt-BR"/>
        </w:rPr>
        <w:t xml:space="preserve">a entidade divulgar </w:t>
      </w:r>
      <w:r w:rsidR="00DE1F3B" w:rsidRPr="00A232C9">
        <w:rPr>
          <w:rFonts w:ascii="Times New Roman" w:hAnsi="Times New Roman"/>
          <w:sz w:val="24"/>
          <w:szCs w:val="24"/>
          <w:lang w:val="pt-BR"/>
        </w:rPr>
        <w:t xml:space="preserve">qual é o método adotado, ou seja, se aplica </w:t>
      </w:r>
      <w:r w:rsidR="00425E8F" w:rsidRPr="00A232C9">
        <w:rPr>
          <w:rFonts w:ascii="Times New Roman" w:hAnsi="Times New Roman"/>
          <w:sz w:val="24"/>
          <w:szCs w:val="24"/>
          <w:lang w:val="pt-BR"/>
        </w:rPr>
        <w:t>o custo ou o valor justo.</w:t>
      </w:r>
      <w:r w:rsidR="008D06CB" w:rsidRPr="00A232C9">
        <w:rPr>
          <w:rFonts w:ascii="Times New Roman" w:hAnsi="Times New Roman"/>
          <w:sz w:val="24"/>
          <w:szCs w:val="24"/>
          <w:lang w:val="pt-BR"/>
        </w:rPr>
        <w:t xml:space="preserve"> </w:t>
      </w:r>
      <w:r w:rsidR="00425E8F" w:rsidRPr="00A232C9">
        <w:rPr>
          <w:rFonts w:ascii="Times New Roman" w:hAnsi="Times New Roman"/>
          <w:sz w:val="24"/>
          <w:szCs w:val="24"/>
          <w:lang w:val="pt-BR"/>
        </w:rPr>
        <w:t xml:space="preserve">Além disso, 36 empresas </w:t>
      </w:r>
      <w:r w:rsidR="00A6465C">
        <w:rPr>
          <w:rFonts w:ascii="Times New Roman" w:hAnsi="Times New Roman"/>
          <w:sz w:val="24"/>
          <w:szCs w:val="24"/>
          <w:lang w:val="pt-BR"/>
        </w:rPr>
        <w:t>da amostra</w:t>
      </w:r>
      <w:r w:rsidR="00425E8F" w:rsidRPr="00A232C9">
        <w:rPr>
          <w:rFonts w:ascii="Times New Roman" w:hAnsi="Times New Roman"/>
          <w:sz w:val="24"/>
          <w:szCs w:val="24"/>
          <w:lang w:val="pt-BR"/>
        </w:rPr>
        <w:t xml:space="preserve"> aplicaram o método de custo (40%) e 33 aplicaram o método do valor justo (36%). </w:t>
      </w:r>
      <w:r w:rsidR="000B6207" w:rsidRPr="00A232C9">
        <w:rPr>
          <w:rFonts w:ascii="Times New Roman" w:hAnsi="Times New Roman"/>
          <w:sz w:val="24"/>
          <w:szCs w:val="24"/>
          <w:lang w:val="pt-BR"/>
        </w:rPr>
        <w:t xml:space="preserve">Se forem desconsideradas para análise as empresas que não divulgaram o método de mensuração, 52% optaram pelo método de custo e 48% pelo método de valor justo. </w:t>
      </w:r>
      <w:r w:rsidR="000A16AB">
        <w:rPr>
          <w:rFonts w:ascii="Times New Roman" w:hAnsi="Times New Roman"/>
          <w:sz w:val="24"/>
          <w:szCs w:val="24"/>
          <w:lang w:val="pt-BR"/>
        </w:rPr>
        <w:t>Desta forma</w:t>
      </w:r>
      <w:r w:rsidR="00425E8F" w:rsidRPr="00A232C9">
        <w:rPr>
          <w:rFonts w:ascii="Times New Roman" w:hAnsi="Times New Roman"/>
          <w:sz w:val="24"/>
          <w:szCs w:val="24"/>
          <w:lang w:val="pt-BR"/>
        </w:rPr>
        <w:t>, a maior parte das empresas analisadas optou pelo método de custo</w:t>
      </w:r>
      <w:r w:rsidR="00AB24E0" w:rsidRPr="00A232C9">
        <w:rPr>
          <w:rFonts w:ascii="Times New Roman" w:hAnsi="Times New Roman"/>
          <w:sz w:val="24"/>
          <w:szCs w:val="24"/>
          <w:lang w:val="pt-BR"/>
        </w:rPr>
        <w:t>,</w:t>
      </w:r>
      <w:r w:rsidR="00425E8F" w:rsidRPr="00A232C9">
        <w:rPr>
          <w:rFonts w:ascii="Times New Roman" w:hAnsi="Times New Roman"/>
          <w:sz w:val="24"/>
          <w:szCs w:val="24"/>
          <w:lang w:val="pt-BR"/>
        </w:rPr>
        <w:t xml:space="preserve"> porém os dados revelaram pouca diferença de aplicação entre os métodos e um alto índice de não divulgação da escolha contábil.</w:t>
      </w:r>
    </w:p>
    <w:p w14:paraId="2B183EFF" w14:textId="7556793E" w:rsidR="008813F7" w:rsidRDefault="0096423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É importante verificar se as empresas estudadas na amostra atenderam ao CPC 28 (2009) quanto à obrigatoriedade da divulgação do valor justo, seja por finalidade de mensuração ou por finalidade de divulgação (optantes pelo mét</w:t>
      </w:r>
      <w:r w:rsidR="00AA2A72">
        <w:rPr>
          <w:rFonts w:ascii="Times New Roman" w:hAnsi="Times New Roman"/>
          <w:sz w:val="24"/>
          <w:szCs w:val="24"/>
          <w:lang w:val="pt-BR"/>
        </w:rPr>
        <w:t>odo de custo). Assim, a Tabela 4</w:t>
      </w:r>
      <w:r w:rsidRPr="00A232C9">
        <w:rPr>
          <w:rFonts w:ascii="Times New Roman" w:hAnsi="Times New Roman"/>
          <w:sz w:val="24"/>
          <w:szCs w:val="24"/>
          <w:lang w:val="pt-BR"/>
        </w:rPr>
        <w:t xml:space="preserve"> aborda a respeito da divulgação do valor justo entre as empresas que aplicaram o método de custo para a mensuração após o reconhecimento inicial das PPI.</w:t>
      </w:r>
    </w:p>
    <w:p w14:paraId="02253109" w14:textId="77777777" w:rsidR="004F54B0" w:rsidRPr="00A065E0" w:rsidRDefault="004F54B0" w:rsidP="008E7DAE">
      <w:pPr>
        <w:spacing w:after="0" w:line="240" w:lineRule="auto"/>
        <w:jc w:val="both"/>
        <w:rPr>
          <w:rFonts w:ascii="Times New Roman" w:hAnsi="Times New Roman"/>
          <w:sz w:val="20"/>
          <w:szCs w:val="20"/>
          <w:lang w:val="pt-BR"/>
        </w:rPr>
      </w:pPr>
    </w:p>
    <w:p w14:paraId="5C358CCF" w14:textId="77777777" w:rsidR="000C5D86" w:rsidRPr="00A4097B" w:rsidRDefault="000C5D86" w:rsidP="008E7DAE">
      <w:pPr>
        <w:pStyle w:val="Legenda"/>
        <w:keepNext/>
        <w:spacing w:after="0"/>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t xml:space="preserve">Tabela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Tabela \* ARABIC </w:instrText>
      </w:r>
      <w:r w:rsidRPr="00A4097B">
        <w:rPr>
          <w:rFonts w:ascii="Times New Roman" w:hAnsi="Times New Roman"/>
          <w:b w:val="0"/>
          <w:color w:val="auto"/>
          <w:sz w:val="20"/>
          <w:szCs w:val="20"/>
        </w:rPr>
        <w:fldChar w:fldCharType="separate"/>
      </w:r>
      <w:r w:rsidR="00AA2A72">
        <w:rPr>
          <w:rFonts w:ascii="Times New Roman" w:hAnsi="Times New Roman"/>
          <w:b w:val="0"/>
          <w:color w:val="auto"/>
          <w:sz w:val="20"/>
          <w:szCs w:val="20"/>
          <w:lang w:val="pt-BR"/>
        </w:rPr>
        <w:t>4</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w:t>
      </w:r>
      <w:r w:rsidR="005C6D9B" w:rsidRPr="00A4097B">
        <w:rPr>
          <w:rFonts w:ascii="Times New Roman" w:hAnsi="Times New Roman"/>
          <w:b w:val="0"/>
          <w:color w:val="auto"/>
          <w:sz w:val="20"/>
          <w:szCs w:val="20"/>
          <w:lang w:val="pt-BR"/>
        </w:rPr>
        <w:t xml:space="preserve"> Divulgação do Valor Justo das </w:t>
      </w:r>
      <w:r w:rsidR="000A4F55" w:rsidRPr="00A4097B">
        <w:rPr>
          <w:rFonts w:ascii="Times New Roman" w:hAnsi="Times New Roman"/>
          <w:b w:val="0"/>
          <w:color w:val="auto"/>
          <w:sz w:val="20"/>
          <w:szCs w:val="20"/>
          <w:lang w:val="pt-BR"/>
        </w:rPr>
        <w:t>PPI</w:t>
      </w:r>
      <w:r w:rsidR="005C6D9B" w:rsidRPr="00A4097B">
        <w:rPr>
          <w:rFonts w:ascii="Times New Roman" w:hAnsi="Times New Roman"/>
          <w:b w:val="0"/>
          <w:color w:val="auto"/>
          <w:sz w:val="20"/>
          <w:szCs w:val="20"/>
          <w:lang w:val="pt-BR"/>
        </w:rPr>
        <w:t xml:space="preserve"> para Empresas Optantes pelo Método de Custo em 2015</w:t>
      </w:r>
    </w:p>
    <w:tbl>
      <w:tblPr>
        <w:tblW w:w="901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992"/>
        <w:gridCol w:w="2410"/>
        <w:gridCol w:w="2635"/>
      </w:tblGrid>
      <w:tr w:rsidR="00193255" w:rsidRPr="00A4097B" w14:paraId="5ADE2505" w14:textId="77777777" w:rsidTr="000A4F55">
        <w:trPr>
          <w:trHeight w:val="227"/>
          <w:jc w:val="center"/>
        </w:trPr>
        <w:tc>
          <w:tcPr>
            <w:tcW w:w="2977" w:type="dxa"/>
            <w:shd w:val="clear" w:color="000000" w:fill="DDD9C4"/>
            <w:vAlign w:val="center"/>
            <w:hideMark/>
          </w:tcPr>
          <w:p w14:paraId="0D67C8AE" w14:textId="77777777" w:rsidR="00964239" w:rsidRPr="00A4097B" w:rsidRDefault="00964239"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Setor</w:t>
            </w:r>
          </w:p>
        </w:tc>
        <w:tc>
          <w:tcPr>
            <w:tcW w:w="992" w:type="dxa"/>
            <w:shd w:val="clear" w:color="000000" w:fill="DDD9C4"/>
            <w:vAlign w:val="center"/>
            <w:hideMark/>
          </w:tcPr>
          <w:p w14:paraId="618A68C4" w14:textId="77777777" w:rsidR="00964239" w:rsidRPr="00A4097B" w:rsidRDefault="00964239"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Custo</w:t>
            </w:r>
          </w:p>
        </w:tc>
        <w:tc>
          <w:tcPr>
            <w:tcW w:w="2410" w:type="dxa"/>
            <w:shd w:val="clear" w:color="000000" w:fill="DDD9C4"/>
            <w:vAlign w:val="center"/>
            <w:hideMark/>
          </w:tcPr>
          <w:p w14:paraId="15E211D4" w14:textId="77777777" w:rsidR="00964239" w:rsidRPr="00A4097B" w:rsidRDefault="00964239"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Divulgação Valor Justo</w:t>
            </w:r>
          </w:p>
        </w:tc>
        <w:tc>
          <w:tcPr>
            <w:tcW w:w="2635" w:type="dxa"/>
            <w:shd w:val="clear" w:color="000000" w:fill="DDD9C4"/>
            <w:vAlign w:val="center"/>
            <w:hideMark/>
          </w:tcPr>
          <w:p w14:paraId="1CD2B7B4" w14:textId="77777777" w:rsidR="00964239" w:rsidRPr="00A4097B" w:rsidRDefault="00964239"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 Divulgação Valor Justo</w:t>
            </w:r>
          </w:p>
        </w:tc>
      </w:tr>
      <w:tr w:rsidR="00193255" w:rsidRPr="00A4097B" w14:paraId="5A03F728" w14:textId="77777777" w:rsidTr="000A4F55">
        <w:trPr>
          <w:trHeight w:val="227"/>
          <w:jc w:val="center"/>
        </w:trPr>
        <w:tc>
          <w:tcPr>
            <w:tcW w:w="2977" w:type="dxa"/>
            <w:shd w:val="clear" w:color="auto" w:fill="auto"/>
            <w:noWrap/>
            <w:vAlign w:val="center"/>
            <w:hideMark/>
          </w:tcPr>
          <w:p w14:paraId="173F063D" w14:textId="77777777" w:rsidR="00964239" w:rsidRPr="00A4097B" w:rsidRDefault="00964239"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Bens Industriais</w:t>
            </w:r>
          </w:p>
        </w:tc>
        <w:tc>
          <w:tcPr>
            <w:tcW w:w="992" w:type="dxa"/>
            <w:shd w:val="clear" w:color="auto" w:fill="auto"/>
            <w:noWrap/>
            <w:vAlign w:val="bottom"/>
            <w:hideMark/>
          </w:tcPr>
          <w:p w14:paraId="67DF0855" w14:textId="77777777" w:rsidR="00964239" w:rsidRPr="00A4097B" w:rsidRDefault="00964239"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4</w:t>
            </w:r>
            <w:proofErr w:type="gramEnd"/>
          </w:p>
        </w:tc>
        <w:tc>
          <w:tcPr>
            <w:tcW w:w="2410" w:type="dxa"/>
            <w:shd w:val="clear" w:color="auto" w:fill="auto"/>
            <w:noWrap/>
            <w:vAlign w:val="bottom"/>
            <w:hideMark/>
          </w:tcPr>
          <w:p w14:paraId="724F8B3A" w14:textId="77777777" w:rsidR="00964239" w:rsidRPr="00A4097B" w:rsidRDefault="00964239"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4</w:t>
            </w:r>
            <w:proofErr w:type="gramEnd"/>
          </w:p>
        </w:tc>
        <w:tc>
          <w:tcPr>
            <w:tcW w:w="2635" w:type="dxa"/>
            <w:shd w:val="clear" w:color="auto" w:fill="auto"/>
            <w:noWrap/>
            <w:vAlign w:val="bottom"/>
            <w:hideMark/>
          </w:tcPr>
          <w:p w14:paraId="709D34EA" w14:textId="77777777" w:rsidR="00964239" w:rsidRPr="00A4097B" w:rsidRDefault="00964239"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r>
      <w:tr w:rsidR="00193255" w:rsidRPr="00A4097B" w14:paraId="5CD142EF" w14:textId="77777777" w:rsidTr="000A4F55">
        <w:trPr>
          <w:trHeight w:val="227"/>
          <w:jc w:val="center"/>
        </w:trPr>
        <w:tc>
          <w:tcPr>
            <w:tcW w:w="2977" w:type="dxa"/>
            <w:shd w:val="clear" w:color="auto" w:fill="auto"/>
            <w:noWrap/>
            <w:vAlign w:val="center"/>
          </w:tcPr>
          <w:p w14:paraId="652DA700"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Materiais Básicos</w:t>
            </w:r>
          </w:p>
        </w:tc>
        <w:tc>
          <w:tcPr>
            <w:tcW w:w="992" w:type="dxa"/>
            <w:shd w:val="clear" w:color="auto" w:fill="auto"/>
            <w:noWrap/>
            <w:vAlign w:val="bottom"/>
          </w:tcPr>
          <w:p w14:paraId="236C934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2410" w:type="dxa"/>
            <w:shd w:val="clear" w:color="auto" w:fill="auto"/>
            <w:noWrap/>
            <w:vAlign w:val="bottom"/>
          </w:tcPr>
          <w:p w14:paraId="175BC4D2"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2635" w:type="dxa"/>
            <w:shd w:val="clear" w:color="auto" w:fill="auto"/>
            <w:noWrap/>
            <w:vAlign w:val="bottom"/>
          </w:tcPr>
          <w:p w14:paraId="369A6995"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r>
      <w:tr w:rsidR="00193255" w:rsidRPr="00A4097B" w14:paraId="5B27F6B2" w14:textId="77777777" w:rsidTr="000A4F55">
        <w:trPr>
          <w:trHeight w:val="227"/>
          <w:jc w:val="center"/>
        </w:trPr>
        <w:tc>
          <w:tcPr>
            <w:tcW w:w="2977" w:type="dxa"/>
            <w:shd w:val="clear" w:color="auto" w:fill="auto"/>
            <w:noWrap/>
            <w:vAlign w:val="center"/>
          </w:tcPr>
          <w:p w14:paraId="6301A171"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Saúde</w:t>
            </w:r>
          </w:p>
        </w:tc>
        <w:tc>
          <w:tcPr>
            <w:tcW w:w="992" w:type="dxa"/>
            <w:shd w:val="clear" w:color="auto" w:fill="auto"/>
            <w:noWrap/>
            <w:vAlign w:val="bottom"/>
          </w:tcPr>
          <w:p w14:paraId="509B44F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410" w:type="dxa"/>
            <w:shd w:val="clear" w:color="auto" w:fill="auto"/>
            <w:noWrap/>
            <w:vAlign w:val="bottom"/>
          </w:tcPr>
          <w:p w14:paraId="6FB28F0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635" w:type="dxa"/>
            <w:shd w:val="clear" w:color="auto" w:fill="auto"/>
            <w:noWrap/>
            <w:vAlign w:val="bottom"/>
          </w:tcPr>
          <w:p w14:paraId="3026CA34"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r>
      <w:tr w:rsidR="00193255" w:rsidRPr="00A4097B" w14:paraId="2EFF55F7" w14:textId="77777777" w:rsidTr="000A4F55">
        <w:trPr>
          <w:trHeight w:val="227"/>
          <w:jc w:val="center"/>
        </w:trPr>
        <w:tc>
          <w:tcPr>
            <w:tcW w:w="2977" w:type="dxa"/>
            <w:shd w:val="clear" w:color="auto" w:fill="auto"/>
            <w:noWrap/>
            <w:vAlign w:val="center"/>
          </w:tcPr>
          <w:p w14:paraId="272FE148"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Tecnologia da Informação</w:t>
            </w:r>
          </w:p>
        </w:tc>
        <w:tc>
          <w:tcPr>
            <w:tcW w:w="992" w:type="dxa"/>
            <w:shd w:val="clear" w:color="auto" w:fill="auto"/>
            <w:noWrap/>
            <w:vAlign w:val="bottom"/>
          </w:tcPr>
          <w:p w14:paraId="72E26018"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410" w:type="dxa"/>
            <w:shd w:val="clear" w:color="auto" w:fill="auto"/>
            <w:noWrap/>
            <w:vAlign w:val="bottom"/>
          </w:tcPr>
          <w:p w14:paraId="718D69DC"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635" w:type="dxa"/>
            <w:shd w:val="clear" w:color="auto" w:fill="auto"/>
            <w:noWrap/>
            <w:vAlign w:val="bottom"/>
          </w:tcPr>
          <w:p w14:paraId="5923018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r>
      <w:tr w:rsidR="00193255" w:rsidRPr="00A4097B" w14:paraId="641CEA6F" w14:textId="77777777" w:rsidTr="000A4F55">
        <w:trPr>
          <w:trHeight w:val="227"/>
          <w:jc w:val="center"/>
        </w:trPr>
        <w:tc>
          <w:tcPr>
            <w:tcW w:w="2977" w:type="dxa"/>
            <w:shd w:val="clear" w:color="auto" w:fill="auto"/>
            <w:noWrap/>
            <w:vAlign w:val="center"/>
          </w:tcPr>
          <w:p w14:paraId="1491B31C"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Telecomunicações</w:t>
            </w:r>
          </w:p>
        </w:tc>
        <w:tc>
          <w:tcPr>
            <w:tcW w:w="992" w:type="dxa"/>
            <w:shd w:val="clear" w:color="auto" w:fill="auto"/>
            <w:noWrap/>
            <w:vAlign w:val="bottom"/>
          </w:tcPr>
          <w:p w14:paraId="3490EC80"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410" w:type="dxa"/>
            <w:shd w:val="clear" w:color="auto" w:fill="auto"/>
            <w:noWrap/>
            <w:vAlign w:val="bottom"/>
          </w:tcPr>
          <w:p w14:paraId="36CDAE3C"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635" w:type="dxa"/>
            <w:shd w:val="clear" w:color="auto" w:fill="auto"/>
            <w:noWrap/>
            <w:vAlign w:val="bottom"/>
          </w:tcPr>
          <w:p w14:paraId="0BA2156F"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r>
      <w:tr w:rsidR="00193255" w:rsidRPr="00A4097B" w14:paraId="73D7DD39" w14:textId="77777777" w:rsidTr="000A4F55">
        <w:trPr>
          <w:trHeight w:val="227"/>
          <w:jc w:val="center"/>
        </w:trPr>
        <w:tc>
          <w:tcPr>
            <w:tcW w:w="2977" w:type="dxa"/>
            <w:shd w:val="clear" w:color="auto" w:fill="auto"/>
            <w:noWrap/>
            <w:vAlign w:val="center"/>
          </w:tcPr>
          <w:p w14:paraId="445A9D7C"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Financeiro e Outros</w:t>
            </w:r>
          </w:p>
        </w:tc>
        <w:tc>
          <w:tcPr>
            <w:tcW w:w="992" w:type="dxa"/>
            <w:shd w:val="clear" w:color="auto" w:fill="auto"/>
            <w:noWrap/>
            <w:vAlign w:val="bottom"/>
          </w:tcPr>
          <w:p w14:paraId="63586CDF"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14</w:t>
            </w:r>
          </w:p>
        </w:tc>
        <w:tc>
          <w:tcPr>
            <w:tcW w:w="2410" w:type="dxa"/>
            <w:shd w:val="clear" w:color="auto" w:fill="auto"/>
            <w:noWrap/>
            <w:vAlign w:val="bottom"/>
          </w:tcPr>
          <w:p w14:paraId="52558426"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8</w:t>
            </w:r>
            <w:proofErr w:type="gramEnd"/>
          </w:p>
        </w:tc>
        <w:tc>
          <w:tcPr>
            <w:tcW w:w="2635" w:type="dxa"/>
            <w:shd w:val="clear" w:color="auto" w:fill="auto"/>
            <w:noWrap/>
            <w:vAlign w:val="bottom"/>
          </w:tcPr>
          <w:p w14:paraId="35BB772E"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57%</w:t>
            </w:r>
          </w:p>
        </w:tc>
      </w:tr>
      <w:tr w:rsidR="00193255" w:rsidRPr="00A4097B" w14:paraId="3B68BDE8" w14:textId="77777777" w:rsidTr="000A4F55">
        <w:trPr>
          <w:trHeight w:val="227"/>
          <w:jc w:val="center"/>
        </w:trPr>
        <w:tc>
          <w:tcPr>
            <w:tcW w:w="2977" w:type="dxa"/>
            <w:shd w:val="clear" w:color="auto" w:fill="auto"/>
            <w:noWrap/>
            <w:vAlign w:val="center"/>
          </w:tcPr>
          <w:p w14:paraId="3B4ED8C8"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Utilidade Pública</w:t>
            </w:r>
          </w:p>
        </w:tc>
        <w:tc>
          <w:tcPr>
            <w:tcW w:w="992" w:type="dxa"/>
            <w:shd w:val="clear" w:color="auto" w:fill="auto"/>
            <w:noWrap/>
            <w:vAlign w:val="bottom"/>
          </w:tcPr>
          <w:p w14:paraId="5ADF3AE9"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5</w:t>
            </w:r>
            <w:proofErr w:type="gramEnd"/>
          </w:p>
        </w:tc>
        <w:tc>
          <w:tcPr>
            <w:tcW w:w="2410" w:type="dxa"/>
            <w:shd w:val="clear" w:color="auto" w:fill="auto"/>
            <w:noWrap/>
            <w:vAlign w:val="bottom"/>
          </w:tcPr>
          <w:p w14:paraId="40E3D6B5"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2635" w:type="dxa"/>
            <w:shd w:val="clear" w:color="auto" w:fill="auto"/>
            <w:noWrap/>
            <w:vAlign w:val="bottom"/>
          </w:tcPr>
          <w:p w14:paraId="7FB0C454"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40%</w:t>
            </w:r>
          </w:p>
        </w:tc>
      </w:tr>
      <w:tr w:rsidR="00193255" w:rsidRPr="00A4097B" w14:paraId="77001058" w14:textId="77777777" w:rsidTr="000A4F55">
        <w:trPr>
          <w:trHeight w:val="227"/>
          <w:jc w:val="center"/>
        </w:trPr>
        <w:tc>
          <w:tcPr>
            <w:tcW w:w="2977" w:type="dxa"/>
            <w:shd w:val="clear" w:color="auto" w:fill="auto"/>
            <w:noWrap/>
            <w:vAlign w:val="center"/>
          </w:tcPr>
          <w:p w14:paraId="3C4A3CA2"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Não Cíclico</w:t>
            </w:r>
          </w:p>
        </w:tc>
        <w:tc>
          <w:tcPr>
            <w:tcW w:w="992" w:type="dxa"/>
            <w:shd w:val="clear" w:color="auto" w:fill="auto"/>
            <w:noWrap/>
            <w:vAlign w:val="bottom"/>
          </w:tcPr>
          <w:p w14:paraId="0704D40B"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3</w:t>
            </w:r>
            <w:proofErr w:type="gramEnd"/>
          </w:p>
        </w:tc>
        <w:tc>
          <w:tcPr>
            <w:tcW w:w="2410" w:type="dxa"/>
            <w:shd w:val="clear" w:color="auto" w:fill="auto"/>
            <w:noWrap/>
            <w:vAlign w:val="bottom"/>
          </w:tcPr>
          <w:p w14:paraId="5F475E85"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635" w:type="dxa"/>
            <w:shd w:val="clear" w:color="auto" w:fill="auto"/>
            <w:noWrap/>
            <w:vAlign w:val="bottom"/>
          </w:tcPr>
          <w:p w14:paraId="5001FAD1"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33%</w:t>
            </w:r>
          </w:p>
        </w:tc>
      </w:tr>
      <w:tr w:rsidR="00193255" w:rsidRPr="00A4097B" w14:paraId="6F9744A8" w14:textId="77777777" w:rsidTr="000A4F55">
        <w:trPr>
          <w:trHeight w:val="227"/>
          <w:jc w:val="center"/>
        </w:trPr>
        <w:tc>
          <w:tcPr>
            <w:tcW w:w="2977" w:type="dxa"/>
            <w:shd w:val="clear" w:color="auto" w:fill="auto"/>
            <w:noWrap/>
            <w:vAlign w:val="center"/>
            <w:hideMark/>
          </w:tcPr>
          <w:p w14:paraId="587FF9C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Cíclico</w:t>
            </w:r>
          </w:p>
        </w:tc>
        <w:tc>
          <w:tcPr>
            <w:tcW w:w="992" w:type="dxa"/>
            <w:shd w:val="clear" w:color="auto" w:fill="auto"/>
            <w:noWrap/>
            <w:vAlign w:val="bottom"/>
            <w:hideMark/>
          </w:tcPr>
          <w:p w14:paraId="409F14CD"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5</w:t>
            </w:r>
            <w:proofErr w:type="gramEnd"/>
          </w:p>
        </w:tc>
        <w:tc>
          <w:tcPr>
            <w:tcW w:w="2410" w:type="dxa"/>
            <w:shd w:val="clear" w:color="auto" w:fill="auto"/>
            <w:noWrap/>
            <w:vAlign w:val="bottom"/>
            <w:hideMark/>
          </w:tcPr>
          <w:p w14:paraId="31EDC275"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2635" w:type="dxa"/>
            <w:shd w:val="clear" w:color="auto" w:fill="auto"/>
            <w:noWrap/>
            <w:vAlign w:val="bottom"/>
            <w:hideMark/>
          </w:tcPr>
          <w:p w14:paraId="0949CF02"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20%</w:t>
            </w:r>
          </w:p>
        </w:tc>
      </w:tr>
      <w:tr w:rsidR="00193255" w:rsidRPr="00A4097B" w14:paraId="1FA7C18D" w14:textId="77777777" w:rsidTr="000A4F55">
        <w:trPr>
          <w:trHeight w:val="227"/>
          <w:jc w:val="center"/>
        </w:trPr>
        <w:tc>
          <w:tcPr>
            <w:tcW w:w="2977" w:type="dxa"/>
            <w:shd w:val="clear" w:color="auto" w:fill="auto"/>
            <w:noWrap/>
            <w:vAlign w:val="center"/>
          </w:tcPr>
          <w:p w14:paraId="1931E56F"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 xml:space="preserve">Petróleo, Gás e </w:t>
            </w:r>
            <w:proofErr w:type="gramStart"/>
            <w:r w:rsidRPr="00A4097B">
              <w:rPr>
                <w:rFonts w:ascii="Times New Roman" w:eastAsia="Times New Roman" w:hAnsi="Times New Roman"/>
                <w:noProof w:val="0"/>
                <w:sz w:val="20"/>
                <w:szCs w:val="20"/>
                <w:lang w:val="pt-BR" w:eastAsia="pt-BR"/>
              </w:rPr>
              <w:t>Biocombustíveis</w:t>
            </w:r>
            <w:proofErr w:type="gramEnd"/>
          </w:p>
        </w:tc>
        <w:tc>
          <w:tcPr>
            <w:tcW w:w="992" w:type="dxa"/>
            <w:shd w:val="clear" w:color="auto" w:fill="auto"/>
            <w:noWrap/>
            <w:vAlign w:val="bottom"/>
          </w:tcPr>
          <w:p w14:paraId="2A3B854E"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2410" w:type="dxa"/>
            <w:shd w:val="clear" w:color="auto" w:fill="auto"/>
            <w:noWrap/>
            <w:vAlign w:val="bottom"/>
          </w:tcPr>
          <w:p w14:paraId="4875BABB"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0</w:t>
            </w:r>
            <w:proofErr w:type="gramEnd"/>
          </w:p>
        </w:tc>
        <w:tc>
          <w:tcPr>
            <w:tcW w:w="2635" w:type="dxa"/>
            <w:shd w:val="clear" w:color="auto" w:fill="auto"/>
            <w:noWrap/>
            <w:vAlign w:val="bottom"/>
          </w:tcPr>
          <w:p w14:paraId="67897704" w14:textId="77777777" w:rsidR="00844D08" w:rsidRPr="00A4097B" w:rsidRDefault="00844D08"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w:t>
            </w:r>
          </w:p>
        </w:tc>
      </w:tr>
      <w:tr w:rsidR="00193255" w:rsidRPr="00A4097B" w14:paraId="03AD07C5" w14:textId="77777777" w:rsidTr="000A4F55">
        <w:trPr>
          <w:trHeight w:val="227"/>
          <w:jc w:val="center"/>
        </w:trPr>
        <w:tc>
          <w:tcPr>
            <w:tcW w:w="2977" w:type="dxa"/>
            <w:shd w:val="clear" w:color="000000" w:fill="DDD9C4"/>
            <w:noWrap/>
            <w:vAlign w:val="center"/>
            <w:hideMark/>
          </w:tcPr>
          <w:p w14:paraId="01B903AF" w14:textId="77777777" w:rsidR="00844D08" w:rsidRPr="00A4097B" w:rsidRDefault="00844D08"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Total</w:t>
            </w:r>
          </w:p>
        </w:tc>
        <w:tc>
          <w:tcPr>
            <w:tcW w:w="992" w:type="dxa"/>
            <w:shd w:val="clear" w:color="000000" w:fill="DDD9C4"/>
            <w:noWrap/>
            <w:vAlign w:val="bottom"/>
            <w:hideMark/>
          </w:tcPr>
          <w:p w14:paraId="31CF12AA" w14:textId="77777777" w:rsidR="00844D08" w:rsidRPr="00A4097B" w:rsidRDefault="00844D08"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36</w:t>
            </w:r>
          </w:p>
        </w:tc>
        <w:tc>
          <w:tcPr>
            <w:tcW w:w="2410" w:type="dxa"/>
            <w:shd w:val="clear" w:color="000000" w:fill="DDD9C4"/>
            <w:noWrap/>
            <w:vAlign w:val="bottom"/>
            <w:hideMark/>
          </w:tcPr>
          <w:p w14:paraId="700BBF2D" w14:textId="77777777" w:rsidR="00844D08" w:rsidRPr="00A4097B" w:rsidRDefault="00844D08"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21</w:t>
            </w:r>
          </w:p>
        </w:tc>
        <w:tc>
          <w:tcPr>
            <w:tcW w:w="2635" w:type="dxa"/>
            <w:shd w:val="clear" w:color="000000" w:fill="DDD9C4"/>
            <w:noWrap/>
            <w:vAlign w:val="bottom"/>
            <w:hideMark/>
          </w:tcPr>
          <w:p w14:paraId="0DB213C4" w14:textId="77777777" w:rsidR="00844D08" w:rsidRPr="00A4097B" w:rsidRDefault="00844D08"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58%</w:t>
            </w:r>
          </w:p>
        </w:tc>
      </w:tr>
    </w:tbl>
    <w:p w14:paraId="200FC192" w14:textId="77777777" w:rsidR="000C5D86" w:rsidRDefault="000C5D86" w:rsidP="008E7DAE">
      <w:pPr>
        <w:spacing w:after="0" w:line="240" w:lineRule="auto"/>
        <w:rPr>
          <w:rFonts w:ascii="Times New Roman" w:hAnsi="Times New Roman"/>
          <w:sz w:val="20"/>
          <w:szCs w:val="20"/>
        </w:rPr>
      </w:pPr>
      <w:r w:rsidRPr="00A4097B">
        <w:rPr>
          <w:rFonts w:ascii="Times New Roman" w:hAnsi="Times New Roman"/>
          <w:sz w:val="20"/>
          <w:szCs w:val="20"/>
        </w:rPr>
        <w:t>Fonte: Elaborado pelos autores.</w:t>
      </w:r>
    </w:p>
    <w:p w14:paraId="67D6E8E1" w14:textId="77777777" w:rsidR="004F54B0" w:rsidRPr="00A065E0" w:rsidRDefault="004F54B0" w:rsidP="008E7DAE">
      <w:pPr>
        <w:spacing w:after="0" w:line="240" w:lineRule="auto"/>
        <w:rPr>
          <w:rFonts w:ascii="Times New Roman" w:hAnsi="Times New Roman"/>
          <w:sz w:val="20"/>
          <w:szCs w:val="20"/>
        </w:rPr>
      </w:pPr>
    </w:p>
    <w:p w14:paraId="1781CFF0" w14:textId="3CE3A5EA" w:rsidR="005C6D9B" w:rsidRPr="00A232C9" w:rsidRDefault="005C6D9B"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Constata-se que as empresas </w:t>
      </w:r>
      <w:r w:rsidR="00480125" w:rsidRPr="00A232C9">
        <w:rPr>
          <w:rFonts w:ascii="Times New Roman" w:hAnsi="Times New Roman"/>
          <w:sz w:val="24"/>
          <w:szCs w:val="24"/>
          <w:lang w:val="pt-BR"/>
        </w:rPr>
        <w:t>d</w:t>
      </w:r>
      <w:r w:rsidRPr="00A232C9">
        <w:rPr>
          <w:rFonts w:ascii="Times New Roman" w:hAnsi="Times New Roman"/>
          <w:sz w:val="24"/>
          <w:szCs w:val="24"/>
          <w:lang w:val="pt-BR"/>
        </w:rPr>
        <w:t xml:space="preserve">o setor de Bens Industriais, Materiais Básicos, Saúde, Tecnologia da Informação e Telecomunicações – que adotaram como escolha contábil na mensuração das PPI o método de custo – 100% cumpriram à finalidade de divulgação do valor justo. </w:t>
      </w:r>
      <w:r w:rsidR="003761F8" w:rsidRPr="00A232C9">
        <w:rPr>
          <w:rFonts w:ascii="Times New Roman" w:hAnsi="Times New Roman"/>
          <w:sz w:val="24"/>
          <w:szCs w:val="24"/>
          <w:lang w:val="pt-BR"/>
        </w:rPr>
        <w:t>O</w:t>
      </w:r>
      <w:r w:rsidRPr="00A232C9">
        <w:rPr>
          <w:rFonts w:ascii="Times New Roman" w:hAnsi="Times New Roman"/>
          <w:sz w:val="24"/>
          <w:szCs w:val="24"/>
          <w:lang w:val="pt-BR"/>
        </w:rPr>
        <w:t xml:space="preserve"> setor de Consumo Cíclico apresentou o menor índice de divulgação (20%) </w:t>
      </w:r>
      <w:r w:rsidR="00E042C9">
        <w:rPr>
          <w:rFonts w:ascii="Times New Roman" w:hAnsi="Times New Roman"/>
          <w:sz w:val="24"/>
          <w:szCs w:val="24"/>
          <w:lang w:val="pt-BR"/>
        </w:rPr>
        <w:t xml:space="preserve">dado que, </w:t>
      </w:r>
      <w:r w:rsidRPr="00A232C9">
        <w:rPr>
          <w:rFonts w:ascii="Times New Roman" w:hAnsi="Times New Roman"/>
          <w:sz w:val="24"/>
          <w:szCs w:val="24"/>
          <w:lang w:val="pt-BR"/>
        </w:rPr>
        <w:t xml:space="preserve">entre </w:t>
      </w:r>
      <w:r w:rsidR="000A4F55" w:rsidRPr="00A232C9">
        <w:rPr>
          <w:rFonts w:ascii="Times New Roman" w:hAnsi="Times New Roman"/>
          <w:sz w:val="24"/>
          <w:szCs w:val="24"/>
          <w:lang w:val="pt-BR"/>
        </w:rPr>
        <w:t>cinco</w:t>
      </w:r>
      <w:r w:rsidRPr="00A232C9">
        <w:rPr>
          <w:rFonts w:ascii="Times New Roman" w:hAnsi="Times New Roman"/>
          <w:sz w:val="24"/>
          <w:szCs w:val="24"/>
          <w:lang w:val="pt-BR"/>
        </w:rPr>
        <w:t xml:space="preserve"> empresas que aplicaram o método de custo, apenas </w:t>
      </w:r>
      <w:r w:rsidR="000A4F55" w:rsidRPr="00A232C9">
        <w:rPr>
          <w:rFonts w:ascii="Times New Roman" w:hAnsi="Times New Roman"/>
          <w:sz w:val="24"/>
          <w:szCs w:val="24"/>
          <w:lang w:val="pt-BR"/>
        </w:rPr>
        <w:t>uma</w:t>
      </w:r>
      <w:r w:rsidRPr="00A232C9">
        <w:rPr>
          <w:rFonts w:ascii="Times New Roman" w:hAnsi="Times New Roman"/>
          <w:sz w:val="24"/>
          <w:szCs w:val="24"/>
          <w:lang w:val="pt-BR"/>
        </w:rPr>
        <w:t xml:space="preserve"> divulgou o valor justo das PPI. Percebe-se, pela análise dos valores totais, que entre as empresas que compõem a amostra, sem distinção de setores, 58% atendem à obrigatoriedade da divulgação do valor justo. Ou seja, entre 36 empresas que aplicaram o método de custo, 21 divulgaram o valor justo complementarmente. </w:t>
      </w:r>
    </w:p>
    <w:p w14:paraId="6A12F21E" w14:textId="5B730B4F" w:rsidR="00A562E8" w:rsidRDefault="00AA2A72" w:rsidP="008E7DAE">
      <w:pPr>
        <w:spacing w:after="0" w:line="240" w:lineRule="auto"/>
        <w:jc w:val="both"/>
        <w:rPr>
          <w:rFonts w:ascii="Times New Roman" w:hAnsi="Times New Roman"/>
          <w:sz w:val="24"/>
          <w:szCs w:val="24"/>
          <w:lang w:val="pt-BR"/>
        </w:rPr>
      </w:pPr>
      <w:r>
        <w:rPr>
          <w:rFonts w:ascii="Times New Roman" w:hAnsi="Times New Roman"/>
          <w:sz w:val="24"/>
          <w:szCs w:val="24"/>
          <w:lang w:val="pt-BR"/>
        </w:rPr>
        <w:lastRenderedPageBreak/>
        <w:tab/>
        <w:t>A Tabela 5</w:t>
      </w:r>
      <w:r w:rsidR="00A562E8" w:rsidRPr="00A232C9">
        <w:rPr>
          <w:rFonts w:ascii="Times New Roman" w:hAnsi="Times New Roman"/>
          <w:sz w:val="24"/>
          <w:szCs w:val="24"/>
          <w:lang w:val="pt-BR"/>
        </w:rPr>
        <w:t xml:space="preserve"> aprese</w:t>
      </w:r>
      <w:r w:rsidR="00480125" w:rsidRPr="00A232C9">
        <w:rPr>
          <w:rFonts w:ascii="Times New Roman" w:hAnsi="Times New Roman"/>
          <w:sz w:val="24"/>
          <w:szCs w:val="24"/>
          <w:lang w:val="pt-BR"/>
        </w:rPr>
        <w:t>nta as estatísticas descritivas</w:t>
      </w:r>
      <w:r w:rsidR="00A562E8" w:rsidRPr="00A232C9">
        <w:rPr>
          <w:rFonts w:ascii="Times New Roman" w:hAnsi="Times New Roman"/>
          <w:sz w:val="24"/>
          <w:szCs w:val="24"/>
          <w:lang w:val="pt-BR"/>
        </w:rPr>
        <w:t xml:space="preserve"> com relação aos valores dos saldos de PPI das empresas da amostra no exercício social de 2015 por setor da BM&amp;FBOVESPA.</w:t>
      </w:r>
      <w:r w:rsidR="00A6029F" w:rsidRPr="00A232C9">
        <w:rPr>
          <w:rFonts w:ascii="Times New Roman" w:hAnsi="Times New Roman"/>
          <w:sz w:val="24"/>
          <w:szCs w:val="24"/>
          <w:lang w:val="pt-BR"/>
        </w:rPr>
        <w:t xml:space="preserve"> É importante destacar que os dados númericos apresentam-se em mil reais </w:t>
      </w:r>
      <w:r w:rsidR="00B8417A" w:rsidRPr="00A232C9">
        <w:rPr>
          <w:rFonts w:ascii="Times New Roman" w:hAnsi="Times New Roman"/>
          <w:sz w:val="24"/>
          <w:szCs w:val="24"/>
          <w:lang w:val="pt-BR"/>
        </w:rPr>
        <w:t>uma vez que</w:t>
      </w:r>
      <w:r w:rsidR="00A6029F" w:rsidRPr="00A232C9">
        <w:rPr>
          <w:rFonts w:ascii="Times New Roman" w:hAnsi="Times New Roman"/>
          <w:sz w:val="24"/>
          <w:szCs w:val="24"/>
          <w:lang w:val="pt-BR"/>
        </w:rPr>
        <w:t xml:space="preserve"> as próprias DFP padronizam desta forma.</w:t>
      </w:r>
    </w:p>
    <w:p w14:paraId="3AB0EBF0" w14:textId="77777777" w:rsidR="004F54B0" w:rsidRPr="00A065E0" w:rsidRDefault="004F54B0" w:rsidP="008E7DAE">
      <w:pPr>
        <w:spacing w:after="0" w:line="240" w:lineRule="auto"/>
        <w:jc w:val="both"/>
        <w:rPr>
          <w:rFonts w:ascii="Times New Roman" w:hAnsi="Times New Roman"/>
          <w:sz w:val="20"/>
          <w:szCs w:val="20"/>
          <w:lang w:val="pt-BR"/>
        </w:rPr>
      </w:pPr>
    </w:p>
    <w:p w14:paraId="73DF511F" w14:textId="77777777" w:rsidR="00351A80" w:rsidRPr="00A4097B" w:rsidRDefault="007F3226" w:rsidP="008E7DAE">
      <w:pPr>
        <w:pStyle w:val="Legenda"/>
        <w:keepNext/>
        <w:spacing w:after="0"/>
        <w:contextualSpacing/>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t xml:space="preserve">Tabela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Tabela \* ARABIC </w:instrText>
      </w:r>
      <w:r w:rsidRPr="00A4097B">
        <w:rPr>
          <w:rFonts w:ascii="Times New Roman" w:hAnsi="Times New Roman"/>
          <w:b w:val="0"/>
          <w:color w:val="auto"/>
          <w:sz w:val="20"/>
          <w:szCs w:val="20"/>
        </w:rPr>
        <w:fldChar w:fldCharType="separate"/>
      </w:r>
      <w:r w:rsidR="00AA2A72">
        <w:rPr>
          <w:rFonts w:ascii="Times New Roman" w:hAnsi="Times New Roman"/>
          <w:b w:val="0"/>
          <w:color w:val="auto"/>
          <w:sz w:val="20"/>
          <w:szCs w:val="20"/>
          <w:lang w:val="pt-BR"/>
        </w:rPr>
        <w:t>5</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 Estatísticas Descritivas dos Valores das </w:t>
      </w:r>
      <w:r w:rsidR="00F50AD5" w:rsidRPr="00A4097B">
        <w:rPr>
          <w:rFonts w:ascii="Times New Roman" w:hAnsi="Times New Roman"/>
          <w:b w:val="0"/>
          <w:color w:val="auto"/>
          <w:sz w:val="20"/>
          <w:szCs w:val="20"/>
          <w:lang w:val="pt-BR"/>
        </w:rPr>
        <w:t>PPI</w:t>
      </w:r>
      <w:r w:rsidRPr="00A4097B">
        <w:rPr>
          <w:rFonts w:ascii="Times New Roman" w:hAnsi="Times New Roman"/>
          <w:b w:val="0"/>
          <w:color w:val="auto"/>
          <w:sz w:val="20"/>
          <w:szCs w:val="20"/>
          <w:lang w:val="pt-BR"/>
        </w:rPr>
        <w:t xml:space="preserve"> em 2015</w:t>
      </w:r>
      <w:r w:rsidR="0056273A" w:rsidRPr="00A4097B">
        <w:rPr>
          <w:rFonts w:ascii="Times New Roman" w:hAnsi="Times New Roman"/>
          <w:b w:val="0"/>
          <w:color w:val="auto"/>
          <w:sz w:val="20"/>
          <w:szCs w:val="20"/>
          <w:lang w:val="pt-BR"/>
        </w:rPr>
        <w:t xml:space="preserve"> (</w:t>
      </w:r>
      <w:r w:rsidR="00351A80" w:rsidRPr="00A4097B">
        <w:rPr>
          <w:rFonts w:ascii="Times New Roman" w:hAnsi="Times New Roman"/>
          <w:b w:val="0"/>
          <w:color w:val="auto"/>
          <w:sz w:val="20"/>
          <w:szCs w:val="20"/>
          <w:lang w:val="pt-BR"/>
        </w:rPr>
        <w:t>Valor</w:t>
      </w:r>
      <w:r w:rsidR="0056273A" w:rsidRPr="00A4097B">
        <w:rPr>
          <w:rFonts w:ascii="Times New Roman" w:hAnsi="Times New Roman"/>
          <w:b w:val="0"/>
          <w:color w:val="auto"/>
          <w:sz w:val="20"/>
          <w:szCs w:val="20"/>
          <w:lang w:val="pt-BR"/>
        </w:rPr>
        <w:t>es em Milhares de Reais)</w:t>
      </w:r>
    </w:p>
    <w:tbl>
      <w:tblPr>
        <w:tblW w:w="8401"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7"/>
        <w:gridCol w:w="985"/>
        <w:gridCol w:w="1190"/>
        <w:gridCol w:w="1290"/>
        <w:gridCol w:w="1190"/>
        <w:gridCol w:w="1190"/>
      </w:tblGrid>
      <w:tr w:rsidR="00193255" w:rsidRPr="00A4097B" w14:paraId="40E730F5" w14:textId="77777777" w:rsidTr="00F54FAA">
        <w:trPr>
          <w:trHeight w:val="227"/>
          <w:jc w:val="center"/>
        </w:trPr>
        <w:tc>
          <w:tcPr>
            <w:tcW w:w="2777" w:type="dxa"/>
            <w:shd w:val="clear" w:color="000000" w:fill="DDD9C4"/>
            <w:vAlign w:val="center"/>
            <w:hideMark/>
          </w:tcPr>
          <w:p w14:paraId="59380580"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Setor</w:t>
            </w:r>
          </w:p>
        </w:tc>
        <w:tc>
          <w:tcPr>
            <w:tcW w:w="764" w:type="dxa"/>
            <w:shd w:val="clear" w:color="000000" w:fill="DDD9C4"/>
            <w:vAlign w:val="center"/>
          </w:tcPr>
          <w:p w14:paraId="5537E76D"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w:t>
            </w:r>
            <w:r w:rsidR="00883FBF" w:rsidRPr="00A4097B">
              <w:rPr>
                <w:rFonts w:ascii="Times New Roman" w:eastAsia="Times New Roman" w:hAnsi="Times New Roman"/>
                <w:b/>
                <w:bCs/>
                <w:noProof w:val="0"/>
                <w:sz w:val="20"/>
                <w:szCs w:val="20"/>
                <w:lang w:val="pt-BR" w:eastAsia="pt-BR"/>
              </w:rPr>
              <w:t>úmero Empresas</w:t>
            </w:r>
          </w:p>
        </w:tc>
        <w:tc>
          <w:tcPr>
            <w:tcW w:w="1190" w:type="dxa"/>
            <w:shd w:val="clear" w:color="auto" w:fill="DDD9C3"/>
            <w:vAlign w:val="center"/>
            <w:hideMark/>
          </w:tcPr>
          <w:p w14:paraId="5CB617F6"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Média</w:t>
            </w:r>
          </w:p>
        </w:tc>
        <w:tc>
          <w:tcPr>
            <w:tcW w:w="1290" w:type="dxa"/>
            <w:shd w:val="clear" w:color="auto" w:fill="DDD9C3"/>
            <w:vAlign w:val="center"/>
            <w:hideMark/>
          </w:tcPr>
          <w:p w14:paraId="50C230A0"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Valor Máximo</w:t>
            </w:r>
          </w:p>
        </w:tc>
        <w:tc>
          <w:tcPr>
            <w:tcW w:w="1190" w:type="dxa"/>
            <w:shd w:val="clear" w:color="000000" w:fill="DDD9C4"/>
            <w:vAlign w:val="center"/>
            <w:hideMark/>
          </w:tcPr>
          <w:p w14:paraId="44D0586B"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Valor Mínimo</w:t>
            </w:r>
          </w:p>
        </w:tc>
        <w:tc>
          <w:tcPr>
            <w:tcW w:w="1190" w:type="dxa"/>
            <w:shd w:val="clear" w:color="000000" w:fill="DDD9C4"/>
            <w:vAlign w:val="center"/>
            <w:hideMark/>
          </w:tcPr>
          <w:p w14:paraId="07DCE91A" w14:textId="77777777" w:rsidR="00815423" w:rsidRPr="00A4097B" w:rsidRDefault="00815423"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Desvio Padrão</w:t>
            </w:r>
          </w:p>
        </w:tc>
      </w:tr>
      <w:tr w:rsidR="00193255" w:rsidRPr="00A4097B" w14:paraId="0AAB40E0" w14:textId="77777777" w:rsidTr="00DF221B">
        <w:trPr>
          <w:trHeight w:val="227"/>
          <w:jc w:val="center"/>
        </w:trPr>
        <w:tc>
          <w:tcPr>
            <w:tcW w:w="2777" w:type="dxa"/>
            <w:shd w:val="clear" w:color="auto" w:fill="auto"/>
            <w:noWrap/>
            <w:vAlign w:val="center"/>
            <w:hideMark/>
          </w:tcPr>
          <w:p w14:paraId="004E0EC9"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Bens Industriais</w:t>
            </w:r>
          </w:p>
        </w:tc>
        <w:tc>
          <w:tcPr>
            <w:tcW w:w="764" w:type="dxa"/>
            <w:vAlign w:val="center"/>
          </w:tcPr>
          <w:p w14:paraId="4D99D816"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11</w:t>
            </w:r>
          </w:p>
        </w:tc>
        <w:tc>
          <w:tcPr>
            <w:tcW w:w="1190" w:type="dxa"/>
            <w:shd w:val="clear" w:color="auto" w:fill="auto"/>
            <w:noWrap/>
            <w:vAlign w:val="center"/>
            <w:hideMark/>
          </w:tcPr>
          <w:p w14:paraId="22039E22"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69.148,27</w:t>
            </w:r>
          </w:p>
        </w:tc>
        <w:tc>
          <w:tcPr>
            <w:tcW w:w="1290" w:type="dxa"/>
            <w:shd w:val="clear" w:color="auto" w:fill="auto"/>
            <w:noWrap/>
            <w:vAlign w:val="center"/>
            <w:hideMark/>
          </w:tcPr>
          <w:p w14:paraId="7FD653EB"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506.474,00</w:t>
            </w:r>
          </w:p>
        </w:tc>
        <w:tc>
          <w:tcPr>
            <w:tcW w:w="1190" w:type="dxa"/>
            <w:shd w:val="clear" w:color="auto" w:fill="auto"/>
            <w:noWrap/>
            <w:vAlign w:val="center"/>
            <w:hideMark/>
          </w:tcPr>
          <w:p w14:paraId="5C5E48D8"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6.544,00</w:t>
            </w:r>
          </w:p>
        </w:tc>
        <w:tc>
          <w:tcPr>
            <w:tcW w:w="1190" w:type="dxa"/>
            <w:shd w:val="clear" w:color="auto" w:fill="auto"/>
            <w:noWrap/>
            <w:vAlign w:val="center"/>
            <w:hideMark/>
          </w:tcPr>
          <w:p w14:paraId="281D64A8"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146.252,95</w:t>
            </w:r>
          </w:p>
        </w:tc>
      </w:tr>
      <w:tr w:rsidR="00193255" w:rsidRPr="00A4097B" w14:paraId="034CEE42" w14:textId="77777777" w:rsidTr="00DF221B">
        <w:trPr>
          <w:trHeight w:val="227"/>
          <w:jc w:val="center"/>
        </w:trPr>
        <w:tc>
          <w:tcPr>
            <w:tcW w:w="2777" w:type="dxa"/>
            <w:shd w:val="clear" w:color="auto" w:fill="auto"/>
            <w:noWrap/>
            <w:vAlign w:val="center"/>
            <w:hideMark/>
          </w:tcPr>
          <w:p w14:paraId="66E47B8F"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Cíclico</w:t>
            </w:r>
          </w:p>
        </w:tc>
        <w:tc>
          <w:tcPr>
            <w:tcW w:w="764" w:type="dxa"/>
            <w:vAlign w:val="center"/>
          </w:tcPr>
          <w:p w14:paraId="666500E7"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20</w:t>
            </w:r>
          </w:p>
        </w:tc>
        <w:tc>
          <w:tcPr>
            <w:tcW w:w="1190" w:type="dxa"/>
            <w:shd w:val="clear" w:color="auto" w:fill="auto"/>
            <w:noWrap/>
            <w:vAlign w:val="center"/>
            <w:hideMark/>
          </w:tcPr>
          <w:p w14:paraId="4BE08398"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839.656,25</w:t>
            </w:r>
          </w:p>
        </w:tc>
        <w:tc>
          <w:tcPr>
            <w:tcW w:w="1290" w:type="dxa"/>
            <w:shd w:val="clear" w:color="auto" w:fill="auto"/>
            <w:noWrap/>
            <w:vAlign w:val="center"/>
            <w:hideMark/>
          </w:tcPr>
          <w:p w14:paraId="7F254AB6"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10.356.362,00</w:t>
            </w:r>
          </w:p>
        </w:tc>
        <w:tc>
          <w:tcPr>
            <w:tcW w:w="1190" w:type="dxa"/>
            <w:shd w:val="clear" w:color="auto" w:fill="auto"/>
            <w:noWrap/>
            <w:vAlign w:val="center"/>
            <w:hideMark/>
          </w:tcPr>
          <w:p w14:paraId="54B028EB"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56,00</w:t>
            </w:r>
          </w:p>
        </w:tc>
        <w:tc>
          <w:tcPr>
            <w:tcW w:w="1190" w:type="dxa"/>
            <w:shd w:val="clear" w:color="auto" w:fill="auto"/>
            <w:noWrap/>
            <w:vAlign w:val="center"/>
            <w:hideMark/>
          </w:tcPr>
          <w:p w14:paraId="051EA281"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2.399.901,86</w:t>
            </w:r>
          </w:p>
        </w:tc>
      </w:tr>
      <w:tr w:rsidR="00193255" w:rsidRPr="00A4097B" w14:paraId="05365019" w14:textId="77777777" w:rsidTr="00DF221B">
        <w:trPr>
          <w:trHeight w:val="227"/>
          <w:jc w:val="center"/>
        </w:trPr>
        <w:tc>
          <w:tcPr>
            <w:tcW w:w="2777" w:type="dxa"/>
            <w:shd w:val="clear" w:color="auto" w:fill="auto"/>
            <w:noWrap/>
            <w:vAlign w:val="center"/>
            <w:hideMark/>
          </w:tcPr>
          <w:p w14:paraId="395D00B7"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Não Cíclico</w:t>
            </w:r>
          </w:p>
        </w:tc>
        <w:tc>
          <w:tcPr>
            <w:tcW w:w="764" w:type="dxa"/>
            <w:vAlign w:val="center"/>
          </w:tcPr>
          <w:p w14:paraId="3FF142CD"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7</w:t>
            </w:r>
            <w:proofErr w:type="gramEnd"/>
          </w:p>
        </w:tc>
        <w:tc>
          <w:tcPr>
            <w:tcW w:w="1190" w:type="dxa"/>
            <w:shd w:val="clear" w:color="auto" w:fill="auto"/>
            <w:noWrap/>
            <w:vAlign w:val="center"/>
            <w:hideMark/>
          </w:tcPr>
          <w:p w14:paraId="259C868B"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78.587,43</w:t>
            </w:r>
          </w:p>
        </w:tc>
        <w:tc>
          <w:tcPr>
            <w:tcW w:w="1290" w:type="dxa"/>
            <w:shd w:val="clear" w:color="auto" w:fill="auto"/>
            <w:noWrap/>
            <w:vAlign w:val="center"/>
            <w:hideMark/>
          </w:tcPr>
          <w:p w14:paraId="00E254B2"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303.466,00</w:t>
            </w:r>
          </w:p>
        </w:tc>
        <w:tc>
          <w:tcPr>
            <w:tcW w:w="1190" w:type="dxa"/>
            <w:shd w:val="clear" w:color="auto" w:fill="auto"/>
            <w:noWrap/>
            <w:vAlign w:val="center"/>
            <w:hideMark/>
          </w:tcPr>
          <w:p w14:paraId="05D7EE1C"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16.760,00</w:t>
            </w:r>
          </w:p>
        </w:tc>
        <w:tc>
          <w:tcPr>
            <w:tcW w:w="1190" w:type="dxa"/>
            <w:shd w:val="clear" w:color="auto" w:fill="auto"/>
            <w:noWrap/>
            <w:vAlign w:val="center"/>
            <w:hideMark/>
          </w:tcPr>
          <w:p w14:paraId="47D6598D"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103.577,75</w:t>
            </w:r>
          </w:p>
        </w:tc>
      </w:tr>
      <w:tr w:rsidR="00193255" w:rsidRPr="00A4097B" w14:paraId="1167066C" w14:textId="77777777" w:rsidTr="00DF221B">
        <w:trPr>
          <w:trHeight w:val="227"/>
          <w:jc w:val="center"/>
        </w:trPr>
        <w:tc>
          <w:tcPr>
            <w:tcW w:w="2777" w:type="dxa"/>
            <w:shd w:val="clear" w:color="auto" w:fill="auto"/>
            <w:noWrap/>
            <w:vAlign w:val="center"/>
            <w:hideMark/>
          </w:tcPr>
          <w:p w14:paraId="0FAB8974"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Financeiro e Outros</w:t>
            </w:r>
          </w:p>
        </w:tc>
        <w:tc>
          <w:tcPr>
            <w:tcW w:w="764" w:type="dxa"/>
            <w:vAlign w:val="center"/>
          </w:tcPr>
          <w:p w14:paraId="42C4EDB9"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26</w:t>
            </w:r>
          </w:p>
        </w:tc>
        <w:tc>
          <w:tcPr>
            <w:tcW w:w="1190" w:type="dxa"/>
            <w:shd w:val="clear" w:color="auto" w:fill="auto"/>
            <w:noWrap/>
            <w:vAlign w:val="center"/>
            <w:hideMark/>
          </w:tcPr>
          <w:p w14:paraId="17E0B018"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2.939.984,23</w:t>
            </w:r>
          </w:p>
        </w:tc>
        <w:tc>
          <w:tcPr>
            <w:tcW w:w="1290" w:type="dxa"/>
            <w:shd w:val="clear" w:color="auto" w:fill="auto"/>
            <w:noWrap/>
            <w:vAlign w:val="center"/>
            <w:hideMark/>
          </w:tcPr>
          <w:p w14:paraId="21D0530D"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25.806.000,00</w:t>
            </w:r>
          </w:p>
        </w:tc>
        <w:tc>
          <w:tcPr>
            <w:tcW w:w="1190" w:type="dxa"/>
            <w:shd w:val="clear" w:color="auto" w:fill="auto"/>
            <w:noWrap/>
            <w:vAlign w:val="center"/>
            <w:hideMark/>
          </w:tcPr>
          <w:p w14:paraId="500ED464"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956,00</w:t>
            </w:r>
          </w:p>
        </w:tc>
        <w:tc>
          <w:tcPr>
            <w:tcW w:w="1190" w:type="dxa"/>
            <w:shd w:val="clear" w:color="auto" w:fill="auto"/>
            <w:noWrap/>
            <w:vAlign w:val="center"/>
            <w:hideMark/>
          </w:tcPr>
          <w:p w14:paraId="63F6E2C8"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5.978.103,71</w:t>
            </w:r>
          </w:p>
        </w:tc>
      </w:tr>
      <w:tr w:rsidR="00193255" w:rsidRPr="00A4097B" w14:paraId="08EE6663" w14:textId="77777777" w:rsidTr="00DF221B">
        <w:trPr>
          <w:trHeight w:val="227"/>
          <w:jc w:val="center"/>
        </w:trPr>
        <w:tc>
          <w:tcPr>
            <w:tcW w:w="2777" w:type="dxa"/>
            <w:shd w:val="clear" w:color="auto" w:fill="auto"/>
            <w:noWrap/>
            <w:vAlign w:val="center"/>
            <w:hideMark/>
          </w:tcPr>
          <w:p w14:paraId="386E2910"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Materiais Básicos</w:t>
            </w:r>
          </w:p>
        </w:tc>
        <w:tc>
          <w:tcPr>
            <w:tcW w:w="764" w:type="dxa"/>
            <w:vAlign w:val="center"/>
          </w:tcPr>
          <w:p w14:paraId="752A1DC1"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5</w:t>
            </w:r>
            <w:proofErr w:type="gramEnd"/>
          </w:p>
        </w:tc>
        <w:tc>
          <w:tcPr>
            <w:tcW w:w="1190" w:type="dxa"/>
            <w:shd w:val="clear" w:color="auto" w:fill="auto"/>
            <w:noWrap/>
            <w:vAlign w:val="center"/>
            <w:hideMark/>
          </w:tcPr>
          <w:p w14:paraId="6BC4783C"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19.010,80</w:t>
            </w:r>
          </w:p>
        </w:tc>
        <w:tc>
          <w:tcPr>
            <w:tcW w:w="1290" w:type="dxa"/>
            <w:shd w:val="clear" w:color="auto" w:fill="auto"/>
            <w:noWrap/>
            <w:vAlign w:val="center"/>
            <w:hideMark/>
          </w:tcPr>
          <w:p w14:paraId="6B459134"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37.869,00</w:t>
            </w:r>
          </w:p>
        </w:tc>
        <w:tc>
          <w:tcPr>
            <w:tcW w:w="1190" w:type="dxa"/>
            <w:shd w:val="clear" w:color="auto" w:fill="auto"/>
            <w:noWrap/>
            <w:vAlign w:val="center"/>
            <w:hideMark/>
          </w:tcPr>
          <w:p w14:paraId="66E05806"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1.479,00</w:t>
            </w:r>
          </w:p>
        </w:tc>
        <w:tc>
          <w:tcPr>
            <w:tcW w:w="1190" w:type="dxa"/>
            <w:shd w:val="clear" w:color="auto" w:fill="auto"/>
            <w:noWrap/>
            <w:vAlign w:val="center"/>
            <w:hideMark/>
          </w:tcPr>
          <w:p w14:paraId="479DB9D1"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13.764,72</w:t>
            </w:r>
          </w:p>
        </w:tc>
      </w:tr>
      <w:tr w:rsidR="00193255" w:rsidRPr="00A4097B" w14:paraId="68F242B7" w14:textId="77777777" w:rsidTr="00DF221B">
        <w:trPr>
          <w:trHeight w:val="227"/>
          <w:jc w:val="center"/>
        </w:trPr>
        <w:tc>
          <w:tcPr>
            <w:tcW w:w="2777" w:type="dxa"/>
            <w:shd w:val="clear" w:color="auto" w:fill="auto"/>
            <w:noWrap/>
            <w:vAlign w:val="center"/>
            <w:hideMark/>
          </w:tcPr>
          <w:p w14:paraId="3CDAA72D"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 xml:space="preserve">Petróleo, Gás e </w:t>
            </w:r>
            <w:proofErr w:type="gramStart"/>
            <w:r w:rsidRPr="00A4097B">
              <w:rPr>
                <w:rFonts w:ascii="Times New Roman" w:eastAsia="Times New Roman" w:hAnsi="Times New Roman"/>
                <w:noProof w:val="0"/>
                <w:sz w:val="20"/>
                <w:szCs w:val="20"/>
                <w:lang w:val="pt-BR" w:eastAsia="pt-BR"/>
              </w:rPr>
              <w:t>Biocombustíveis</w:t>
            </w:r>
            <w:proofErr w:type="gramEnd"/>
          </w:p>
        </w:tc>
        <w:tc>
          <w:tcPr>
            <w:tcW w:w="764" w:type="dxa"/>
            <w:vAlign w:val="center"/>
          </w:tcPr>
          <w:p w14:paraId="2B4C4091"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2</w:t>
            </w:r>
            <w:proofErr w:type="gramEnd"/>
          </w:p>
        </w:tc>
        <w:tc>
          <w:tcPr>
            <w:tcW w:w="1190" w:type="dxa"/>
            <w:shd w:val="clear" w:color="auto" w:fill="auto"/>
            <w:noWrap/>
            <w:vAlign w:val="center"/>
            <w:hideMark/>
          </w:tcPr>
          <w:p w14:paraId="2755BEA3"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2.595.035,00</w:t>
            </w:r>
          </w:p>
        </w:tc>
        <w:tc>
          <w:tcPr>
            <w:tcW w:w="1290" w:type="dxa"/>
            <w:shd w:val="clear" w:color="auto" w:fill="auto"/>
            <w:noWrap/>
            <w:vAlign w:val="center"/>
            <w:hideMark/>
          </w:tcPr>
          <w:p w14:paraId="1F7F4364"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2.595.035,00</w:t>
            </w:r>
          </w:p>
        </w:tc>
        <w:tc>
          <w:tcPr>
            <w:tcW w:w="1190" w:type="dxa"/>
            <w:shd w:val="clear" w:color="auto" w:fill="auto"/>
            <w:noWrap/>
            <w:vAlign w:val="center"/>
            <w:hideMark/>
          </w:tcPr>
          <w:p w14:paraId="70491470"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2.595.035,00</w:t>
            </w:r>
          </w:p>
        </w:tc>
        <w:tc>
          <w:tcPr>
            <w:tcW w:w="1190" w:type="dxa"/>
            <w:shd w:val="clear" w:color="auto" w:fill="auto"/>
            <w:noWrap/>
            <w:vAlign w:val="center"/>
            <w:hideMark/>
          </w:tcPr>
          <w:p w14:paraId="3EA206F9"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0,00</w:t>
            </w:r>
          </w:p>
        </w:tc>
      </w:tr>
      <w:tr w:rsidR="00193255" w:rsidRPr="00A4097B" w14:paraId="1F6E55CA" w14:textId="77777777" w:rsidTr="00DF221B">
        <w:trPr>
          <w:trHeight w:val="227"/>
          <w:jc w:val="center"/>
        </w:trPr>
        <w:tc>
          <w:tcPr>
            <w:tcW w:w="2777" w:type="dxa"/>
            <w:shd w:val="clear" w:color="auto" w:fill="auto"/>
            <w:noWrap/>
            <w:vAlign w:val="center"/>
            <w:hideMark/>
          </w:tcPr>
          <w:p w14:paraId="30F65287"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Saúde</w:t>
            </w:r>
          </w:p>
        </w:tc>
        <w:tc>
          <w:tcPr>
            <w:tcW w:w="764" w:type="dxa"/>
            <w:vAlign w:val="center"/>
          </w:tcPr>
          <w:p w14:paraId="74C8DC08"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3</w:t>
            </w:r>
            <w:proofErr w:type="gramEnd"/>
          </w:p>
        </w:tc>
        <w:tc>
          <w:tcPr>
            <w:tcW w:w="1190" w:type="dxa"/>
            <w:shd w:val="clear" w:color="auto" w:fill="auto"/>
            <w:noWrap/>
            <w:vAlign w:val="center"/>
            <w:hideMark/>
          </w:tcPr>
          <w:p w14:paraId="58AE1AB0"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6.682,33</w:t>
            </w:r>
          </w:p>
        </w:tc>
        <w:tc>
          <w:tcPr>
            <w:tcW w:w="1290" w:type="dxa"/>
            <w:shd w:val="clear" w:color="auto" w:fill="auto"/>
            <w:noWrap/>
            <w:vAlign w:val="center"/>
            <w:hideMark/>
          </w:tcPr>
          <w:p w14:paraId="2A42AE7A"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19.254,00</w:t>
            </w:r>
          </w:p>
        </w:tc>
        <w:tc>
          <w:tcPr>
            <w:tcW w:w="1190" w:type="dxa"/>
            <w:shd w:val="clear" w:color="auto" w:fill="auto"/>
            <w:noWrap/>
            <w:vAlign w:val="center"/>
            <w:hideMark/>
          </w:tcPr>
          <w:p w14:paraId="5B2C3E4F"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262,00</w:t>
            </w:r>
          </w:p>
        </w:tc>
        <w:tc>
          <w:tcPr>
            <w:tcW w:w="1190" w:type="dxa"/>
            <w:shd w:val="clear" w:color="auto" w:fill="auto"/>
            <w:noWrap/>
            <w:vAlign w:val="center"/>
            <w:hideMark/>
          </w:tcPr>
          <w:p w14:paraId="4B5F3B2F"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10.888,21</w:t>
            </w:r>
          </w:p>
        </w:tc>
      </w:tr>
      <w:tr w:rsidR="00193255" w:rsidRPr="00A4097B" w14:paraId="3D6A28AE" w14:textId="77777777" w:rsidTr="00DF221B">
        <w:trPr>
          <w:trHeight w:val="227"/>
          <w:jc w:val="center"/>
        </w:trPr>
        <w:tc>
          <w:tcPr>
            <w:tcW w:w="2777" w:type="dxa"/>
            <w:shd w:val="clear" w:color="auto" w:fill="auto"/>
            <w:noWrap/>
            <w:vAlign w:val="center"/>
            <w:hideMark/>
          </w:tcPr>
          <w:p w14:paraId="66DDE672"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Tecnologia da Informação</w:t>
            </w:r>
          </w:p>
        </w:tc>
        <w:tc>
          <w:tcPr>
            <w:tcW w:w="764" w:type="dxa"/>
            <w:vAlign w:val="center"/>
          </w:tcPr>
          <w:p w14:paraId="69DE88DD"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1190" w:type="dxa"/>
            <w:shd w:val="clear" w:color="auto" w:fill="auto"/>
            <w:noWrap/>
            <w:vAlign w:val="center"/>
            <w:hideMark/>
          </w:tcPr>
          <w:p w14:paraId="1935843E"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30.206,00</w:t>
            </w:r>
          </w:p>
        </w:tc>
        <w:tc>
          <w:tcPr>
            <w:tcW w:w="1290" w:type="dxa"/>
            <w:shd w:val="clear" w:color="auto" w:fill="auto"/>
            <w:noWrap/>
            <w:vAlign w:val="center"/>
            <w:hideMark/>
          </w:tcPr>
          <w:p w14:paraId="351EFEF6"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30.206,00</w:t>
            </w:r>
          </w:p>
        </w:tc>
        <w:tc>
          <w:tcPr>
            <w:tcW w:w="1190" w:type="dxa"/>
            <w:shd w:val="clear" w:color="auto" w:fill="auto"/>
            <w:noWrap/>
            <w:vAlign w:val="center"/>
            <w:hideMark/>
          </w:tcPr>
          <w:p w14:paraId="0128054D"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30.206,00</w:t>
            </w:r>
          </w:p>
        </w:tc>
        <w:tc>
          <w:tcPr>
            <w:tcW w:w="1190" w:type="dxa"/>
            <w:shd w:val="clear" w:color="auto" w:fill="auto"/>
            <w:noWrap/>
            <w:vAlign w:val="center"/>
            <w:hideMark/>
          </w:tcPr>
          <w:p w14:paraId="77601DF5"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w:t>
            </w:r>
          </w:p>
        </w:tc>
      </w:tr>
      <w:tr w:rsidR="00193255" w:rsidRPr="00A4097B" w14:paraId="3950EAB6" w14:textId="77777777" w:rsidTr="00DF221B">
        <w:trPr>
          <w:trHeight w:val="227"/>
          <w:jc w:val="center"/>
        </w:trPr>
        <w:tc>
          <w:tcPr>
            <w:tcW w:w="2777" w:type="dxa"/>
            <w:shd w:val="clear" w:color="auto" w:fill="auto"/>
            <w:noWrap/>
            <w:vAlign w:val="center"/>
            <w:hideMark/>
          </w:tcPr>
          <w:p w14:paraId="2CA77726"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Telecomunicações</w:t>
            </w:r>
          </w:p>
        </w:tc>
        <w:tc>
          <w:tcPr>
            <w:tcW w:w="764" w:type="dxa"/>
            <w:vAlign w:val="center"/>
          </w:tcPr>
          <w:p w14:paraId="2F92C1C6"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proofErr w:type="gramStart"/>
            <w:r w:rsidRPr="00A4097B">
              <w:rPr>
                <w:rFonts w:ascii="Times New Roman" w:eastAsia="Times New Roman" w:hAnsi="Times New Roman"/>
                <w:noProof w:val="0"/>
                <w:sz w:val="20"/>
                <w:szCs w:val="20"/>
                <w:lang w:val="pt-BR" w:eastAsia="pt-BR"/>
              </w:rPr>
              <w:t>1</w:t>
            </w:r>
            <w:proofErr w:type="gramEnd"/>
          </w:p>
        </w:tc>
        <w:tc>
          <w:tcPr>
            <w:tcW w:w="1190" w:type="dxa"/>
            <w:shd w:val="clear" w:color="auto" w:fill="auto"/>
            <w:noWrap/>
            <w:vAlign w:val="center"/>
            <w:hideMark/>
          </w:tcPr>
          <w:p w14:paraId="2C20A205"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3.996.971,00</w:t>
            </w:r>
          </w:p>
        </w:tc>
        <w:tc>
          <w:tcPr>
            <w:tcW w:w="1290" w:type="dxa"/>
            <w:shd w:val="clear" w:color="auto" w:fill="auto"/>
            <w:noWrap/>
            <w:vAlign w:val="center"/>
            <w:hideMark/>
          </w:tcPr>
          <w:p w14:paraId="7AF47287"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3.996.971,00</w:t>
            </w:r>
          </w:p>
        </w:tc>
        <w:tc>
          <w:tcPr>
            <w:tcW w:w="1190" w:type="dxa"/>
            <w:shd w:val="clear" w:color="auto" w:fill="auto"/>
            <w:noWrap/>
            <w:vAlign w:val="center"/>
            <w:hideMark/>
          </w:tcPr>
          <w:p w14:paraId="0EDAA7A5"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3.996.971,00</w:t>
            </w:r>
          </w:p>
        </w:tc>
        <w:tc>
          <w:tcPr>
            <w:tcW w:w="1190" w:type="dxa"/>
            <w:shd w:val="clear" w:color="auto" w:fill="auto"/>
            <w:noWrap/>
            <w:vAlign w:val="center"/>
            <w:hideMark/>
          </w:tcPr>
          <w:p w14:paraId="755E2F7E"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w:t>
            </w:r>
          </w:p>
        </w:tc>
      </w:tr>
      <w:tr w:rsidR="00193255" w:rsidRPr="00A4097B" w14:paraId="44C1E447" w14:textId="77777777" w:rsidTr="00DF221B">
        <w:trPr>
          <w:trHeight w:val="227"/>
          <w:jc w:val="center"/>
        </w:trPr>
        <w:tc>
          <w:tcPr>
            <w:tcW w:w="2777" w:type="dxa"/>
            <w:shd w:val="clear" w:color="auto" w:fill="auto"/>
            <w:noWrap/>
            <w:vAlign w:val="center"/>
            <w:hideMark/>
          </w:tcPr>
          <w:p w14:paraId="70491E5B"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Utilidade Pública</w:t>
            </w:r>
          </w:p>
        </w:tc>
        <w:tc>
          <w:tcPr>
            <w:tcW w:w="764" w:type="dxa"/>
            <w:vAlign w:val="center"/>
          </w:tcPr>
          <w:p w14:paraId="401E8BE2" w14:textId="77777777" w:rsidR="0095384E" w:rsidRPr="00A4097B" w:rsidRDefault="0095384E"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15</w:t>
            </w:r>
          </w:p>
        </w:tc>
        <w:tc>
          <w:tcPr>
            <w:tcW w:w="1190" w:type="dxa"/>
            <w:shd w:val="clear" w:color="auto" w:fill="auto"/>
            <w:noWrap/>
            <w:vAlign w:val="center"/>
            <w:hideMark/>
          </w:tcPr>
          <w:p w14:paraId="6EE93CA2"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36.168,13</w:t>
            </w:r>
          </w:p>
        </w:tc>
        <w:tc>
          <w:tcPr>
            <w:tcW w:w="1290" w:type="dxa"/>
            <w:shd w:val="clear" w:color="auto" w:fill="auto"/>
            <w:noWrap/>
            <w:vAlign w:val="center"/>
            <w:hideMark/>
          </w:tcPr>
          <w:p w14:paraId="04C80366"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370.428,00</w:t>
            </w:r>
          </w:p>
        </w:tc>
        <w:tc>
          <w:tcPr>
            <w:tcW w:w="1190" w:type="dxa"/>
            <w:shd w:val="clear" w:color="auto" w:fill="auto"/>
            <w:noWrap/>
            <w:vAlign w:val="center"/>
            <w:hideMark/>
          </w:tcPr>
          <w:p w14:paraId="08370CF1"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145,00</w:t>
            </w:r>
          </w:p>
        </w:tc>
        <w:tc>
          <w:tcPr>
            <w:tcW w:w="1190" w:type="dxa"/>
            <w:shd w:val="clear" w:color="auto" w:fill="auto"/>
            <w:noWrap/>
            <w:vAlign w:val="center"/>
            <w:hideMark/>
          </w:tcPr>
          <w:p w14:paraId="42F82575" w14:textId="77777777" w:rsidR="0095384E" w:rsidRPr="00A4097B" w:rsidRDefault="0095384E" w:rsidP="008E7DAE">
            <w:pPr>
              <w:spacing w:after="0" w:line="240" w:lineRule="auto"/>
              <w:jc w:val="right"/>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93.580,66</w:t>
            </w:r>
          </w:p>
        </w:tc>
      </w:tr>
    </w:tbl>
    <w:p w14:paraId="5D5F4B69" w14:textId="77777777" w:rsidR="007F3226" w:rsidRDefault="007E24A0" w:rsidP="008E7DAE">
      <w:pPr>
        <w:spacing w:after="0" w:line="240" w:lineRule="auto"/>
        <w:rPr>
          <w:rFonts w:ascii="Times New Roman" w:hAnsi="Times New Roman"/>
          <w:sz w:val="20"/>
          <w:szCs w:val="20"/>
        </w:rPr>
      </w:pPr>
      <w:r w:rsidRPr="00A4097B">
        <w:rPr>
          <w:rFonts w:ascii="Times New Roman" w:hAnsi="Times New Roman"/>
          <w:sz w:val="20"/>
          <w:szCs w:val="20"/>
        </w:rPr>
        <w:t xml:space="preserve"> </w:t>
      </w:r>
      <w:r w:rsidR="007F3226" w:rsidRPr="00A4097B">
        <w:rPr>
          <w:rFonts w:ascii="Times New Roman" w:hAnsi="Times New Roman"/>
          <w:sz w:val="20"/>
          <w:szCs w:val="20"/>
        </w:rPr>
        <w:t>Fonte: Elaborado pelos autores.</w:t>
      </w:r>
    </w:p>
    <w:p w14:paraId="41937596" w14:textId="77777777" w:rsidR="004F54B0" w:rsidRPr="00A065E0" w:rsidRDefault="004F54B0" w:rsidP="008E7DAE">
      <w:pPr>
        <w:spacing w:after="0" w:line="240" w:lineRule="auto"/>
        <w:rPr>
          <w:rFonts w:ascii="Times New Roman" w:hAnsi="Times New Roman"/>
          <w:sz w:val="20"/>
          <w:szCs w:val="20"/>
        </w:rPr>
      </w:pPr>
    </w:p>
    <w:p w14:paraId="2BDCF042" w14:textId="5ECAEA65" w:rsidR="00277B12" w:rsidRPr="00A232C9" w:rsidRDefault="00A562E8" w:rsidP="008E7DAE">
      <w:pPr>
        <w:spacing w:after="0" w:line="240" w:lineRule="auto"/>
        <w:jc w:val="both"/>
        <w:rPr>
          <w:rFonts w:ascii="Times New Roman" w:hAnsi="Times New Roman"/>
          <w:sz w:val="24"/>
          <w:szCs w:val="24"/>
          <w:lang w:val="pt-BR"/>
        </w:rPr>
      </w:pPr>
      <w:r w:rsidRPr="00A232C9">
        <w:rPr>
          <w:rFonts w:ascii="Times New Roman" w:hAnsi="Times New Roman"/>
          <w:b/>
          <w:sz w:val="24"/>
          <w:szCs w:val="24"/>
          <w:lang w:val="pt-BR"/>
        </w:rPr>
        <w:tab/>
      </w:r>
      <w:r w:rsidR="00A6029F" w:rsidRPr="00A232C9">
        <w:rPr>
          <w:rFonts w:ascii="Times New Roman" w:hAnsi="Times New Roman"/>
          <w:sz w:val="24"/>
          <w:szCs w:val="24"/>
          <w:lang w:val="pt-BR"/>
        </w:rPr>
        <w:t xml:space="preserve">Primeiramente, </w:t>
      </w:r>
      <w:r w:rsidR="00761649" w:rsidRPr="00A232C9">
        <w:rPr>
          <w:rFonts w:ascii="Times New Roman" w:hAnsi="Times New Roman"/>
          <w:sz w:val="24"/>
          <w:szCs w:val="24"/>
          <w:lang w:val="pt-BR"/>
        </w:rPr>
        <w:t>ressalta</w:t>
      </w:r>
      <w:r w:rsidR="00A6029F" w:rsidRPr="00A232C9">
        <w:rPr>
          <w:rFonts w:ascii="Times New Roman" w:hAnsi="Times New Roman"/>
          <w:sz w:val="24"/>
          <w:szCs w:val="24"/>
          <w:lang w:val="pt-BR"/>
        </w:rPr>
        <w:t xml:space="preserve">-se que o setor de Petróleo, Gás e Biocombustíveis apresentou valores </w:t>
      </w:r>
      <w:r w:rsidR="00D258CD" w:rsidRPr="00A232C9">
        <w:rPr>
          <w:rFonts w:ascii="Times New Roman" w:hAnsi="Times New Roman"/>
          <w:sz w:val="24"/>
          <w:szCs w:val="24"/>
          <w:lang w:val="pt-BR"/>
        </w:rPr>
        <w:t>semelhantes na análise</w:t>
      </w:r>
      <w:r w:rsidR="000C23C4" w:rsidRPr="00A232C9">
        <w:rPr>
          <w:rFonts w:ascii="Times New Roman" w:hAnsi="Times New Roman"/>
          <w:sz w:val="24"/>
          <w:szCs w:val="24"/>
          <w:lang w:val="pt-BR"/>
        </w:rPr>
        <w:t xml:space="preserve"> descritiva, uma vez qu</w:t>
      </w:r>
      <w:r w:rsidR="00A6029F" w:rsidRPr="00A232C9">
        <w:rPr>
          <w:rFonts w:ascii="Times New Roman" w:hAnsi="Times New Roman"/>
          <w:sz w:val="24"/>
          <w:szCs w:val="24"/>
          <w:lang w:val="pt-BR"/>
        </w:rPr>
        <w:t>e abrange apenas du</w:t>
      </w:r>
      <w:r w:rsidR="00761649" w:rsidRPr="00A232C9">
        <w:rPr>
          <w:rFonts w:ascii="Times New Roman" w:hAnsi="Times New Roman"/>
          <w:sz w:val="24"/>
          <w:szCs w:val="24"/>
          <w:lang w:val="pt-BR"/>
        </w:rPr>
        <w:t>as empresas sendo que uma delas</w:t>
      </w:r>
      <w:r w:rsidR="00A6029F" w:rsidRPr="00A232C9">
        <w:rPr>
          <w:rFonts w:ascii="Times New Roman" w:hAnsi="Times New Roman"/>
          <w:sz w:val="24"/>
          <w:szCs w:val="24"/>
          <w:lang w:val="pt-BR"/>
        </w:rPr>
        <w:t xml:space="preserve"> é controladora da outra. </w:t>
      </w:r>
      <w:r w:rsidR="003761F8" w:rsidRPr="00A232C9">
        <w:rPr>
          <w:rFonts w:ascii="Times New Roman" w:hAnsi="Times New Roman"/>
          <w:sz w:val="24"/>
          <w:szCs w:val="24"/>
          <w:lang w:val="pt-BR"/>
        </w:rPr>
        <w:t xml:space="preserve">Além disso, </w:t>
      </w:r>
      <w:r w:rsidR="0091768F" w:rsidRPr="00A232C9">
        <w:rPr>
          <w:rFonts w:ascii="Times New Roman" w:hAnsi="Times New Roman"/>
          <w:sz w:val="24"/>
          <w:szCs w:val="24"/>
          <w:lang w:val="pt-BR"/>
        </w:rPr>
        <w:t>nota</w:t>
      </w:r>
      <w:r w:rsidR="003761F8" w:rsidRPr="00A232C9">
        <w:rPr>
          <w:rFonts w:ascii="Times New Roman" w:hAnsi="Times New Roman"/>
          <w:sz w:val="24"/>
          <w:szCs w:val="24"/>
          <w:lang w:val="pt-BR"/>
        </w:rPr>
        <w:t>-se que as</w:t>
      </w:r>
      <w:r w:rsidR="00761649" w:rsidRPr="00A232C9">
        <w:rPr>
          <w:rFonts w:ascii="Times New Roman" w:hAnsi="Times New Roman"/>
          <w:sz w:val="24"/>
          <w:szCs w:val="24"/>
          <w:lang w:val="pt-BR"/>
        </w:rPr>
        <w:t xml:space="preserve"> estatísticas descritivas dos setores de Tecnologia da Informação e Telecomunicações foram semelhantes e sem valores para o desvio padrão pois </w:t>
      </w:r>
      <w:r w:rsidR="002828BB" w:rsidRPr="00A232C9">
        <w:rPr>
          <w:rFonts w:ascii="Times New Roman" w:hAnsi="Times New Roman"/>
          <w:sz w:val="24"/>
          <w:szCs w:val="24"/>
          <w:lang w:val="pt-BR"/>
        </w:rPr>
        <w:t>abrangem</w:t>
      </w:r>
      <w:r w:rsidR="00761649" w:rsidRPr="00A232C9">
        <w:rPr>
          <w:rFonts w:ascii="Times New Roman" w:hAnsi="Times New Roman"/>
          <w:sz w:val="24"/>
          <w:szCs w:val="24"/>
          <w:lang w:val="pt-BR"/>
        </w:rPr>
        <w:t xml:space="preserve"> uma empresa.</w:t>
      </w:r>
    </w:p>
    <w:p w14:paraId="55F9EA25" w14:textId="77777777" w:rsidR="00277B12" w:rsidRDefault="00761649"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Os setores </w:t>
      </w:r>
      <w:r w:rsidR="001A1B09" w:rsidRPr="00A232C9">
        <w:rPr>
          <w:rFonts w:ascii="Times New Roman" w:hAnsi="Times New Roman"/>
          <w:sz w:val="24"/>
          <w:szCs w:val="24"/>
          <w:lang w:val="pt-BR"/>
        </w:rPr>
        <w:t>Financeiro e Outros,</w:t>
      </w:r>
      <w:r w:rsidRPr="00A232C9">
        <w:rPr>
          <w:rFonts w:ascii="Times New Roman" w:hAnsi="Times New Roman"/>
          <w:sz w:val="24"/>
          <w:szCs w:val="24"/>
          <w:lang w:val="pt-BR"/>
        </w:rPr>
        <w:t xml:space="preserve"> Petróleo, Gás e Biocombustíveis e Telecomunicações destacam-se como as maiores médias de valores de PPI registradas em 2015. </w:t>
      </w:r>
      <w:r w:rsidR="003761F8" w:rsidRPr="00A232C9">
        <w:rPr>
          <w:rFonts w:ascii="Times New Roman" w:hAnsi="Times New Roman"/>
          <w:sz w:val="24"/>
          <w:szCs w:val="24"/>
          <w:lang w:val="pt-BR"/>
        </w:rPr>
        <w:t>O</w:t>
      </w:r>
      <w:r w:rsidRPr="00A232C9">
        <w:rPr>
          <w:rFonts w:ascii="Times New Roman" w:hAnsi="Times New Roman"/>
          <w:sz w:val="24"/>
          <w:szCs w:val="24"/>
          <w:lang w:val="pt-BR"/>
        </w:rPr>
        <w:t xml:space="preserve"> setor de Saúde apresentou a menor média (</w:t>
      </w:r>
      <w:r w:rsidR="001A1B09" w:rsidRPr="00A232C9">
        <w:rPr>
          <w:rFonts w:ascii="Times New Roman" w:hAnsi="Times New Roman"/>
          <w:sz w:val="24"/>
          <w:szCs w:val="24"/>
          <w:lang w:val="pt-BR"/>
        </w:rPr>
        <w:t xml:space="preserve">R$ </w:t>
      </w:r>
      <w:r w:rsidRPr="00A232C9">
        <w:rPr>
          <w:rFonts w:ascii="Times New Roman" w:hAnsi="Times New Roman"/>
          <w:sz w:val="24"/>
          <w:szCs w:val="24"/>
          <w:lang w:val="pt-BR"/>
        </w:rPr>
        <w:t xml:space="preserve">6.682,33). </w:t>
      </w:r>
      <w:r w:rsidR="0015778C" w:rsidRPr="00A232C9">
        <w:rPr>
          <w:rFonts w:ascii="Times New Roman" w:hAnsi="Times New Roman"/>
          <w:sz w:val="24"/>
          <w:szCs w:val="24"/>
          <w:lang w:val="pt-BR"/>
        </w:rPr>
        <w:t>As empresas pertencentes ao Consumo Cíclico e Financeiro e Outros destacam-se quanto ao</w:t>
      </w:r>
      <w:r w:rsidRPr="00A232C9">
        <w:rPr>
          <w:rFonts w:ascii="Times New Roman" w:hAnsi="Times New Roman"/>
          <w:sz w:val="24"/>
          <w:szCs w:val="24"/>
          <w:lang w:val="pt-BR"/>
        </w:rPr>
        <w:t xml:space="preserve">s valores máximos. O valor mínimo revela-se </w:t>
      </w:r>
      <w:r w:rsidR="001A1B09" w:rsidRPr="00A232C9">
        <w:rPr>
          <w:rFonts w:ascii="Times New Roman" w:hAnsi="Times New Roman"/>
          <w:sz w:val="24"/>
          <w:szCs w:val="24"/>
          <w:lang w:val="pt-BR"/>
        </w:rPr>
        <w:t>maior</w:t>
      </w:r>
      <w:r w:rsidRPr="00A232C9">
        <w:rPr>
          <w:rFonts w:ascii="Times New Roman" w:hAnsi="Times New Roman"/>
          <w:sz w:val="24"/>
          <w:szCs w:val="24"/>
          <w:lang w:val="pt-BR"/>
        </w:rPr>
        <w:t xml:space="preserve"> nos setores de Bens Industriais e Consumo Não Cíclico, desconsiderando os setor</w:t>
      </w:r>
      <w:r w:rsidR="001A1B09" w:rsidRPr="00A232C9">
        <w:rPr>
          <w:rFonts w:ascii="Times New Roman" w:hAnsi="Times New Roman"/>
          <w:sz w:val="24"/>
          <w:szCs w:val="24"/>
          <w:lang w:val="pt-BR"/>
        </w:rPr>
        <w:t>es</w:t>
      </w:r>
      <w:r w:rsidRPr="00A232C9">
        <w:rPr>
          <w:rFonts w:ascii="Times New Roman" w:hAnsi="Times New Roman"/>
          <w:sz w:val="24"/>
          <w:szCs w:val="24"/>
          <w:lang w:val="pt-BR"/>
        </w:rPr>
        <w:t xml:space="preserve"> que apresentaram apenas uma empresa listada. </w:t>
      </w:r>
      <w:r w:rsidR="003761F8" w:rsidRPr="00A232C9">
        <w:rPr>
          <w:rFonts w:ascii="Times New Roman" w:hAnsi="Times New Roman"/>
          <w:sz w:val="24"/>
          <w:szCs w:val="24"/>
          <w:lang w:val="pt-BR"/>
        </w:rPr>
        <w:t>O</w:t>
      </w:r>
      <w:r w:rsidRPr="00A232C9">
        <w:rPr>
          <w:rFonts w:ascii="Times New Roman" w:hAnsi="Times New Roman"/>
          <w:sz w:val="24"/>
          <w:szCs w:val="24"/>
          <w:lang w:val="pt-BR"/>
        </w:rPr>
        <w:t xml:space="preserve"> desvio padrão, que </w:t>
      </w:r>
      <w:r w:rsidR="004F00E2" w:rsidRPr="00A232C9">
        <w:rPr>
          <w:rFonts w:ascii="Times New Roman" w:hAnsi="Times New Roman"/>
          <w:sz w:val="24"/>
          <w:szCs w:val="24"/>
          <w:lang w:val="pt-BR"/>
        </w:rPr>
        <w:t xml:space="preserve">simboliza a </w:t>
      </w:r>
      <w:r w:rsidR="001A1B09" w:rsidRPr="00A232C9">
        <w:rPr>
          <w:rFonts w:ascii="Times New Roman" w:hAnsi="Times New Roman"/>
          <w:sz w:val="24"/>
          <w:szCs w:val="24"/>
          <w:lang w:val="pt-BR"/>
        </w:rPr>
        <w:t>variação dos dados</w:t>
      </w:r>
      <w:r w:rsidR="004F00E2" w:rsidRPr="00A232C9">
        <w:rPr>
          <w:rFonts w:ascii="Times New Roman" w:hAnsi="Times New Roman"/>
          <w:sz w:val="24"/>
          <w:szCs w:val="24"/>
          <w:lang w:val="pt-BR"/>
        </w:rPr>
        <w:t xml:space="preserve"> em relação à média, apresentou um alto valor nos setores de Consumo Cíclico e Financeiro e Outros.</w:t>
      </w:r>
    </w:p>
    <w:p w14:paraId="62ECD039" w14:textId="77777777" w:rsidR="008E7DAE" w:rsidRPr="00A232C9" w:rsidRDefault="008E7DAE" w:rsidP="008E7DAE">
      <w:pPr>
        <w:spacing w:after="0" w:line="240" w:lineRule="auto"/>
        <w:jc w:val="both"/>
        <w:rPr>
          <w:rFonts w:ascii="Times New Roman" w:hAnsi="Times New Roman"/>
          <w:b/>
          <w:sz w:val="24"/>
          <w:szCs w:val="24"/>
          <w:lang w:val="pt-BR"/>
        </w:rPr>
      </w:pPr>
    </w:p>
    <w:p w14:paraId="6F9862EF" w14:textId="3E934E7E" w:rsidR="00277B12" w:rsidRPr="00713491" w:rsidRDefault="00713491" w:rsidP="008E7DAE">
      <w:pPr>
        <w:pStyle w:val="PargrafodaLista"/>
        <w:numPr>
          <w:ilvl w:val="1"/>
          <w:numId w:val="18"/>
        </w:numPr>
        <w:spacing w:after="0"/>
        <w:rPr>
          <w:rFonts w:ascii="Times New Roman" w:hAnsi="Times New Roman"/>
          <w:sz w:val="24"/>
          <w:szCs w:val="24"/>
        </w:rPr>
      </w:pPr>
      <w:r>
        <w:rPr>
          <w:rFonts w:ascii="Times New Roman" w:hAnsi="Times New Roman"/>
          <w:sz w:val="24"/>
          <w:szCs w:val="24"/>
        </w:rPr>
        <w:t>NÍVEL DE COMPARABILIDADE</w:t>
      </w:r>
    </w:p>
    <w:p w14:paraId="44184E54" w14:textId="33DC7593" w:rsidR="00D13E54" w:rsidRPr="00A232C9" w:rsidRDefault="00F67BE3"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Após o</w:t>
      </w:r>
      <w:r w:rsidR="00600DA5" w:rsidRPr="00A232C9">
        <w:rPr>
          <w:rFonts w:ascii="Times New Roman" w:hAnsi="Times New Roman"/>
          <w:sz w:val="24"/>
          <w:szCs w:val="24"/>
          <w:lang w:val="pt-BR"/>
        </w:rPr>
        <w:t>s</w:t>
      </w:r>
      <w:r w:rsidRPr="00A232C9">
        <w:rPr>
          <w:rFonts w:ascii="Times New Roman" w:hAnsi="Times New Roman"/>
          <w:sz w:val="24"/>
          <w:szCs w:val="24"/>
          <w:lang w:val="pt-BR"/>
        </w:rPr>
        <w:t xml:space="preserve"> estudo</w:t>
      </w:r>
      <w:r w:rsidR="00600DA5" w:rsidRPr="00A232C9">
        <w:rPr>
          <w:rFonts w:ascii="Times New Roman" w:hAnsi="Times New Roman"/>
          <w:sz w:val="24"/>
          <w:szCs w:val="24"/>
          <w:lang w:val="pt-BR"/>
        </w:rPr>
        <w:t>s</w:t>
      </w:r>
      <w:r w:rsidRPr="00A232C9">
        <w:rPr>
          <w:rFonts w:ascii="Times New Roman" w:hAnsi="Times New Roman"/>
          <w:sz w:val="24"/>
          <w:szCs w:val="24"/>
          <w:lang w:val="pt-BR"/>
        </w:rPr>
        <w:t xml:space="preserve"> </w:t>
      </w:r>
      <w:r w:rsidR="00600DA5" w:rsidRPr="00A232C9">
        <w:rPr>
          <w:rFonts w:ascii="Times New Roman" w:hAnsi="Times New Roman"/>
          <w:sz w:val="24"/>
          <w:szCs w:val="24"/>
          <w:lang w:val="pt-BR"/>
        </w:rPr>
        <w:t>descritivos e estatísticos</w:t>
      </w:r>
      <w:r w:rsidR="00FB7978" w:rsidRPr="00A232C9">
        <w:rPr>
          <w:rFonts w:ascii="Times New Roman" w:hAnsi="Times New Roman"/>
          <w:sz w:val="24"/>
          <w:szCs w:val="24"/>
          <w:lang w:val="pt-BR"/>
        </w:rPr>
        <w:t xml:space="preserve">, </w:t>
      </w:r>
      <w:r w:rsidR="008D1A5B">
        <w:rPr>
          <w:rFonts w:ascii="Times New Roman" w:hAnsi="Times New Roman"/>
          <w:sz w:val="24"/>
          <w:szCs w:val="24"/>
          <w:lang w:val="pt-BR"/>
        </w:rPr>
        <w:t>computaram-se</w:t>
      </w:r>
      <w:r w:rsidR="00FB7978" w:rsidRPr="00A232C9">
        <w:rPr>
          <w:rFonts w:ascii="Times New Roman" w:hAnsi="Times New Roman"/>
          <w:sz w:val="24"/>
          <w:szCs w:val="24"/>
          <w:lang w:val="pt-BR"/>
        </w:rPr>
        <w:t xml:space="preserve"> o</w:t>
      </w:r>
      <w:r w:rsidR="008D1A5B">
        <w:rPr>
          <w:rFonts w:ascii="Times New Roman" w:hAnsi="Times New Roman"/>
          <w:sz w:val="24"/>
          <w:szCs w:val="24"/>
          <w:lang w:val="pt-BR"/>
        </w:rPr>
        <w:t>s</w:t>
      </w:r>
      <w:r w:rsidR="00FB7978" w:rsidRPr="00A232C9">
        <w:rPr>
          <w:rFonts w:ascii="Times New Roman" w:hAnsi="Times New Roman"/>
          <w:sz w:val="24"/>
          <w:szCs w:val="24"/>
          <w:lang w:val="pt-BR"/>
        </w:rPr>
        <w:t xml:space="preserve"> índice</w:t>
      </w:r>
      <w:r w:rsidR="008D1A5B">
        <w:rPr>
          <w:rFonts w:ascii="Times New Roman" w:hAnsi="Times New Roman"/>
          <w:sz w:val="24"/>
          <w:szCs w:val="24"/>
          <w:lang w:val="pt-BR"/>
        </w:rPr>
        <w:t>s</w:t>
      </w:r>
      <w:r w:rsidR="00FB7978" w:rsidRPr="00A232C9">
        <w:rPr>
          <w:rFonts w:ascii="Times New Roman" w:hAnsi="Times New Roman"/>
          <w:sz w:val="24"/>
          <w:szCs w:val="24"/>
          <w:lang w:val="pt-BR"/>
        </w:rPr>
        <w:t xml:space="preserve"> de comparabilidade T</w:t>
      </w:r>
      <w:r w:rsidR="008D1A5B">
        <w:rPr>
          <w:rFonts w:ascii="Times New Roman" w:hAnsi="Times New Roman"/>
          <w:sz w:val="24"/>
          <w:szCs w:val="24"/>
          <w:lang w:val="pt-BR"/>
        </w:rPr>
        <w:t xml:space="preserve"> e H</w:t>
      </w:r>
      <w:r w:rsidR="00FB7978" w:rsidRPr="00A232C9">
        <w:rPr>
          <w:rFonts w:ascii="Times New Roman" w:hAnsi="Times New Roman"/>
          <w:sz w:val="24"/>
          <w:szCs w:val="24"/>
          <w:lang w:val="pt-BR"/>
        </w:rPr>
        <w:t xml:space="preserve">. O índice </w:t>
      </w:r>
      <w:r w:rsidR="002130DE">
        <w:rPr>
          <w:rFonts w:ascii="Times New Roman" w:hAnsi="Times New Roman"/>
          <w:sz w:val="24"/>
          <w:szCs w:val="24"/>
          <w:lang w:val="pt-BR"/>
        </w:rPr>
        <w:t xml:space="preserve">T </w:t>
      </w:r>
      <w:r w:rsidR="00FB7978" w:rsidRPr="00A232C9">
        <w:rPr>
          <w:rFonts w:ascii="Times New Roman" w:hAnsi="Times New Roman"/>
          <w:sz w:val="24"/>
          <w:szCs w:val="24"/>
          <w:lang w:val="pt-BR"/>
        </w:rPr>
        <w:t>permite demonstrar o nível de comparabilidade perante os métodos contábeis apli</w:t>
      </w:r>
      <w:r w:rsidR="00600DA5" w:rsidRPr="00A232C9">
        <w:rPr>
          <w:rFonts w:ascii="Times New Roman" w:hAnsi="Times New Roman"/>
          <w:sz w:val="24"/>
          <w:szCs w:val="24"/>
          <w:lang w:val="pt-BR"/>
        </w:rPr>
        <w:t xml:space="preserve">cados pelas empresas da amostra. </w:t>
      </w:r>
      <w:r w:rsidR="00370660" w:rsidRPr="00A232C9">
        <w:rPr>
          <w:rFonts w:ascii="Times New Roman" w:hAnsi="Times New Roman"/>
          <w:sz w:val="24"/>
          <w:szCs w:val="24"/>
          <w:lang w:val="pt-BR"/>
        </w:rPr>
        <w:t>Taplin (2004) evidencia</w:t>
      </w:r>
      <w:r w:rsidR="00FB7978" w:rsidRPr="00A232C9">
        <w:rPr>
          <w:rFonts w:ascii="Times New Roman" w:hAnsi="Times New Roman"/>
          <w:sz w:val="24"/>
          <w:szCs w:val="24"/>
          <w:lang w:val="pt-BR"/>
        </w:rPr>
        <w:t xml:space="preserve"> a existência de diferentes abordagens para o cálculo do índice T quando na amostra encontram-se empresas que não divulgaram o método contábil escolhido</w:t>
      </w:r>
      <w:r w:rsidR="00B12521" w:rsidRPr="00A232C9">
        <w:rPr>
          <w:rFonts w:ascii="Times New Roman" w:hAnsi="Times New Roman"/>
          <w:sz w:val="24"/>
          <w:szCs w:val="24"/>
          <w:lang w:val="pt-BR"/>
        </w:rPr>
        <w:t xml:space="preserve"> (</w:t>
      </w:r>
      <w:r w:rsidR="00B12521" w:rsidRPr="00A232C9">
        <w:rPr>
          <w:rFonts w:ascii="Times New Roman" w:hAnsi="Times New Roman"/>
          <w:i/>
          <w:sz w:val="24"/>
          <w:szCs w:val="24"/>
          <w:lang w:val="pt-BR"/>
        </w:rPr>
        <w:t>non-disclosure</w:t>
      </w:r>
      <w:r w:rsidR="00B12521" w:rsidRPr="00A232C9">
        <w:rPr>
          <w:rFonts w:ascii="Times New Roman" w:hAnsi="Times New Roman"/>
          <w:sz w:val="24"/>
          <w:szCs w:val="24"/>
          <w:lang w:val="pt-BR"/>
        </w:rPr>
        <w:t>)</w:t>
      </w:r>
      <w:r w:rsidR="00FB7978" w:rsidRPr="00A232C9">
        <w:rPr>
          <w:rFonts w:ascii="Times New Roman" w:hAnsi="Times New Roman"/>
          <w:sz w:val="24"/>
          <w:szCs w:val="24"/>
          <w:lang w:val="pt-BR"/>
        </w:rPr>
        <w:t xml:space="preserve">, partindo-se da premissa que a não divulgação seja o último método contábil. A primeira abordagem (T1) </w:t>
      </w:r>
      <w:r w:rsidR="00B12521" w:rsidRPr="00A232C9">
        <w:rPr>
          <w:rFonts w:ascii="Times New Roman" w:hAnsi="Times New Roman"/>
          <w:sz w:val="24"/>
          <w:szCs w:val="24"/>
          <w:lang w:val="pt-BR"/>
        </w:rPr>
        <w:t>exclui as empresas que não divulgaram o método contábil para o cálculo do índice. A remoção da não divulgação pode ser razoável quando a intenção é mensurar o nível de comparabilidade das companhias para as quais essa política contábi</w:t>
      </w:r>
      <w:r w:rsidR="00052A5F">
        <w:rPr>
          <w:rFonts w:ascii="Times New Roman" w:hAnsi="Times New Roman"/>
          <w:sz w:val="24"/>
          <w:szCs w:val="24"/>
          <w:lang w:val="pt-BR"/>
        </w:rPr>
        <w:t>l representa um problema (TAPLIN</w:t>
      </w:r>
      <w:r w:rsidR="00B12521" w:rsidRPr="00A232C9">
        <w:rPr>
          <w:rFonts w:ascii="Times New Roman" w:hAnsi="Times New Roman"/>
          <w:sz w:val="24"/>
          <w:szCs w:val="24"/>
          <w:lang w:val="pt-BR"/>
        </w:rPr>
        <w:t xml:space="preserve">, 2004). Desta forma, o índice T1 apresentará </w:t>
      </w:r>
      <w:r w:rsidR="0091768F" w:rsidRPr="00A232C9">
        <w:rPr>
          <w:rFonts w:ascii="Times New Roman" w:hAnsi="Times New Roman"/>
          <w:sz w:val="24"/>
          <w:szCs w:val="24"/>
          <w:lang w:val="pt-BR"/>
        </w:rPr>
        <w:t>a</w:t>
      </w:r>
      <w:r w:rsidR="00B12521" w:rsidRPr="00A232C9">
        <w:rPr>
          <w:rFonts w:ascii="Times New Roman" w:hAnsi="Times New Roman"/>
          <w:sz w:val="24"/>
          <w:szCs w:val="24"/>
          <w:lang w:val="pt-BR"/>
        </w:rPr>
        <w:t xml:space="preserve"> comparabilidade dentre as empresas que </w:t>
      </w:r>
      <w:r w:rsidR="0091768F" w:rsidRPr="00A232C9">
        <w:rPr>
          <w:rFonts w:ascii="Times New Roman" w:hAnsi="Times New Roman"/>
          <w:sz w:val="24"/>
          <w:szCs w:val="24"/>
          <w:lang w:val="pt-BR"/>
        </w:rPr>
        <w:t>apresentaram</w:t>
      </w:r>
      <w:r w:rsidR="000426E4">
        <w:rPr>
          <w:rFonts w:ascii="Times New Roman" w:hAnsi="Times New Roman"/>
          <w:sz w:val="24"/>
          <w:szCs w:val="24"/>
          <w:lang w:val="pt-BR"/>
        </w:rPr>
        <w:t xml:space="preserve"> o método de mensuração das PPI.</w:t>
      </w:r>
    </w:p>
    <w:p w14:paraId="7381CEBE" w14:textId="77777777" w:rsidR="002034FD" w:rsidRPr="00A232C9" w:rsidRDefault="00B12521"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A segunda abordagem (T2) inclui todas as empresas da amostra, ou seja, </w:t>
      </w:r>
      <w:r w:rsidR="002034FD" w:rsidRPr="00A232C9">
        <w:rPr>
          <w:rFonts w:ascii="Times New Roman" w:hAnsi="Times New Roman"/>
          <w:sz w:val="24"/>
          <w:szCs w:val="24"/>
          <w:lang w:val="pt-BR"/>
        </w:rPr>
        <w:t xml:space="preserve">as empresas que não divulgaram o método contábil adotado são consideradas comparáveis a todas outras, independentemente do método. De acordo com Taplin (2004), essa abordagem é razoável se for aceita a ideia de que a não divulgação é resultado de uma não aplicabilidade, assim, as </w:t>
      </w:r>
      <w:r w:rsidR="002034FD" w:rsidRPr="00A232C9">
        <w:rPr>
          <w:rFonts w:ascii="Times New Roman" w:hAnsi="Times New Roman"/>
          <w:sz w:val="24"/>
          <w:szCs w:val="24"/>
          <w:lang w:val="pt-BR"/>
        </w:rPr>
        <w:lastRenderedPageBreak/>
        <w:t>contas de uma empresa que não apresentou o método contábil devem ser comparadas a quaisquer outras empresas.</w:t>
      </w:r>
    </w:p>
    <w:p w14:paraId="55E5543F" w14:textId="54703F41" w:rsidR="000C23C4" w:rsidRPr="00A232C9" w:rsidRDefault="002034FD"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 xml:space="preserve"> </w:t>
      </w:r>
      <w:r w:rsidR="00453AFE" w:rsidRPr="00A232C9">
        <w:rPr>
          <w:rFonts w:ascii="Times New Roman" w:hAnsi="Times New Roman"/>
          <w:sz w:val="24"/>
          <w:szCs w:val="24"/>
          <w:lang w:val="pt-BR"/>
        </w:rPr>
        <w:tab/>
      </w:r>
      <w:r w:rsidR="003761F8" w:rsidRPr="00A232C9">
        <w:rPr>
          <w:rFonts w:ascii="Times New Roman" w:hAnsi="Times New Roman"/>
          <w:sz w:val="24"/>
          <w:szCs w:val="24"/>
          <w:lang w:val="pt-BR"/>
        </w:rPr>
        <w:t>Na</w:t>
      </w:r>
      <w:r w:rsidR="00453AFE" w:rsidRPr="00A232C9">
        <w:rPr>
          <w:rFonts w:ascii="Times New Roman" w:hAnsi="Times New Roman"/>
          <w:sz w:val="24"/>
          <w:szCs w:val="24"/>
          <w:lang w:val="pt-BR"/>
        </w:rPr>
        <w:t xml:space="preserve"> terceira abordagem (T3) </w:t>
      </w:r>
      <w:r w:rsidR="00966E13" w:rsidRPr="00A232C9">
        <w:rPr>
          <w:rFonts w:ascii="Times New Roman" w:hAnsi="Times New Roman"/>
          <w:sz w:val="24"/>
          <w:szCs w:val="24"/>
          <w:lang w:val="pt-BR"/>
        </w:rPr>
        <w:t>a não divulgação não é comparável a nenhum dos outros métodos contábeis. Coelho</w:t>
      </w:r>
      <w:r w:rsidR="00052A5F">
        <w:rPr>
          <w:rFonts w:ascii="Times New Roman" w:hAnsi="Times New Roman"/>
          <w:sz w:val="24"/>
          <w:szCs w:val="24"/>
          <w:lang w:val="pt-BR"/>
        </w:rPr>
        <w:t xml:space="preserve">, Campagnoni e Rover </w:t>
      </w:r>
      <w:r w:rsidR="00966E13" w:rsidRPr="00A232C9">
        <w:rPr>
          <w:rFonts w:ascii="Times New Roman" w:hAnsi="Times New Roman"/>
          <w:sz w:val="24"/>
          <w:szCs w:val="24"/>
          <w:lang w:val="pt-BR"/>
        </w:rPr>
        <w:t xml:space="preserve">(2016) esclarecem esta abordagem  expondo que as empresas que não </w:t>
      </w:r>
      <w:r w:rsidR="002E7E0C" w:rsidRPr="00A232C9">
        <w:rPr>
          <w:rFonts w:ascii="Times New Roman" w:hAnsi="Times New Roman"/>
          <w:sz w:val="24"/>
          <w:szCs w:val="24"/>
          <w:lang w:val="pt-BR"/>
        </w:rPr>
        <w:t>informaram</w:t>
      </w:r>
      <w:r w:rsidR="00966E13" w:rsidRPr="00A232C9">
        <w:rPr>
          <w:rFonts w:ascii="Times New Roman" w:hAnsi="Times New Roman"/>
          <w:sz w:val="24"/>
          <w:szCs w:val="24"/>
          <w:lang w:val="pt-BR"/>
        </w:rPr>
        <w:t xml:space="preserve"> o método contábil </w:t>
      </w:r>
      <w:r w:rsidR="002E7E0C" w:rsidRPr="00A232C9">
        <w:rPr>
          <w:rFonts w:ascii="Times New Roman" w:hAnsi="Times New Roman"/>
          <w:sz w:val="24"/>
          <w:szCs w:val="24"/>
          <w:lang w:val="pt-BR"/>
        </w:rPr>
        <w:t xml:space="preserve">escolhido </w:t>
      </w:r>
      <w:r w:rsidR="00966E13" w:rsidRPr="00A232C9">
        <w:rPr>
          <w:rFonts w:ascii="Times New Roman" w:hAnsi="Times New Roman"/>
          <w:sz w:val="24"/>
          <w:szCs w:val="24"/>
          <w:lang w:val="pt-BR"/>
        </w:rPr>
        <w:t>são consideradas para o cálculo do índice, porém não são comparadas as demais empresas.</w:t>
      </w:r>
      <w:r w:rsidR="00960085" w:rsidRPr="00A232C9">
        <w:rPr>
          <w:rFonts w:ascii="Times New Roman" w:hAnsi="Times New Roman"/>
          <w:sz w:val="24"/>
          <w:szCs w:val="24"/>
          <w:lang w:val="pt-BR"/>
        </w:rPr>
        <w:t xml:space="preserve"> </w:t>
      </w:r>
    </w:p>
    <w:p w14:paraId="59DDCD3A" w14:textId="0FD7055C" w:rsidR="00D13E54" w:rsidRDefault="002E7E0C"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Deste modo, como a amostra do presente estudo contou com empresas que não d</w:t>
      </w:r>
      <w:r w:rsidR="00BE2078" w:rsidRPr="00A232C9">
        <w:rPr>
          <w:rFonts w:ascii="Times New Roman" w:hAnsi="Times New Roman"/>
          <w:sz w:val="24"/>
          <w:szCs w:val="24"/>
          <w:lang w:val="pt-BR"/>
        </w:rPr>
        <w:t>i</w:t>
      </w:r>
      <w:r w:rsidRPr="00A232C9">
        <w:rPr>
          <w:rFonts w:ascii="Times New Roman" w:hAnsi="Times New Roman"/>
          <w:sz w:val="24"/>
          <w:szCs w:val="24"/>
          <w:lang w:val="pt-BR"/>
        </w:rPr>
        <w:t xml:space="preserve">vulgaram o método contábil adotado na mensuração das </w:t>
      </w:r>
      <w:r w:rsidR="00D91DB9" w:rsidRPr="00A232C9">
        <w:rPr>
          <w:rFonts w:ascii="Times New Roman" w:hAnsi="Times New Roman"/>
          <w:sz w:val="24"/>
          <w:szCs w:val="24"/>
          <w:lang w:val="pt-BR"/>
        </w:rPr>
        <w:t>PPI</w:t>
      </w:r>
      <w:r w:rsidRPr="00A232C9">
        <w:rPr>
          <w:rFonts w:ascii="Times New Roman" w:hAnsi="Times New Roman"/>
          <w:sz w:val="24"/>
          <w:szCs w:val="24"/>
          <w:lang w:val="pt-BR"/>
        </w:rPr>
        <w:t xml:space="preserve">, foram calculadas as três abordagens apresentadas anteriormente para cada setor. Os valores dos índices T obtidos são demonstrados na Tabela </w:t>
      </w:r>
      <w:r w:rsidR="00AA2A72">
        <w:rPr>
          <w:rFonts w:ascii="Times New Roman" w:hAnsi="Times New Roman"/>
          <w:sz w:val="24"/>
          <w:szCs w:val="24"/>
          <w:lang w:val="pt-BR"/>
        </w:rPr>
        <w:t>6</w:t>
      </w:r>
      <w:r w:rsidR="00DC5801" w:rsidRPr="00A232C9">
        <w:rPr>
          <w:rFonts w:ascii="Times New Roman" w:hAnsi="Times New Roman"/>
          <w:sz w:val="24"/>
          <w:szCs w:val="24"/>
          <w:lang w:val="pt-BR"/>
        </w:rPr>
        <w:t>, assim como a interpretação de acordo com a escala abordada n</w:t>
      </w:r>
      <w:r w:rsidR="00AB24E0" w:rsidRPr="00A232C9">
        <w:rPr>
          <w:rFonts w:ascii="Times New Roman" w:hAnsi="Times New Roman"/>
          <w:sz w:val="24"/>
          <w:szCs w:val="24"/>
          <w:lang w:val="pt-BR"/>
        </w:rPr>
        <w:t xml:space="preserve">o capítulo </w:t>
      </w:r>
      <w:r w:rsidR="00F976F0" w:rsidRPr="00A232C9">
        <w:rPr>
          <w:rFonts w:ascii="Times New Roman" w:hAnsi="Times New Roman"/>
          <w:sz w:val="24"/>
          <w:szCs w:val="24"/>
          <w:lang w:val="pt-BR"/>
        </w:rPr>
        <w:t>dos procedimentos metodológicos</w:t>
      </w:r>
      <w:r w:rsidRPr="00A232C9">
        <w:rPr>
          <w:rFonts w:ascii="Times New Roman" w:hAnsi="Times New Roman"/>
          <w:sz w:val="24"/>
          <w:szCs w:val="24"/>
          <w:lang w:val="pt-BR"/>
        </w:rPr>
        <w:t>.</w:t>
      </w:r>
    </w:p>
    <w:p w14:paraId="5112D99A"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2D1709D5" w14:textId="77777777" w:rsidR="009112CB" w:rsidRPr="00A4097B" w:rsidRDefault="009112CB" w:rsidP="008E7DAE">
      <w:pPr>
        <w:pStyle w:val="Legenda"/>
        <w:keepNext/>
        <w:spacing w:after="0"/>
        <w:jc w:val="center"/>
        <w:rPr>
          <w:rFonts w:ascii="Times New Roman" w:hAnsi="Times New Roman"/>
          <w:b w:val="0"/>
          <w:color w:val="auto"/>
          <w:sz w:val="20"/>
          <w:szCs w:val="20"/>
          <w:lang w:val="pt-BR"/>
        </w:rPr>
      </w:pPr>
      <w:r w:rsidRPr="00A4097B">
        <w:rPr>
          <w:rFonts w:ascii="Times New Roman" w:hAnsi="Times New Roman"/>
          <w:b w:val="0"/>
          <w:color w:val="auto"/>
          <w:sz w:val="20"/>
          <w:szCs w:val="20"/>
          <w:lang w:val="pt-BR"/>
        </w:rPr>
        <w:t xml:space="preserve">Tabela </w:t>
      </w:r>
      <w:r w:rsidRPr="00A4097B">
        <w:rPr>
          <w:rFonts w:ascii="Times New Roman" w:hAnsi="Times New Roman"/>
          <w:b w:val="0"/>
          <w:color w:val="auto"/>
          <w:sz w:val="20"/>
          <w:szCs w:val="20"/>
        </w:rPr>
        <w:fldChar w:fldCharType="begin"/>
      </w:r>
      <w:r w:rsidRPr="00A4097B">
        <w:rPr>
          <w:rFonts w:ascii="Times New Roman" w:hAnsi="Times New Roman"/>
          <w:b w:val="0"/>
          <w:color w:val="auto"/>
          <w:sz w:val="20"/>
          <w:szCs w:val="20"/>
          <w:lang w:val="pt-BR"/>
        </w:rPr>
        <w:instrText xml:space="preserve"> SEQ Tabela \* ARABIC </w:instrText>
      </w:r>
      <w:r w:rsidRPr="00A4097B">
        <w:rPr>
          <w:rFonts w:ascii="Times New Roman" w:hAnsi="Times New Roman"/>
          <w:b w:val="0"/>
          <w:color w:val="auto"/>
          <w:sz w:val="20"/>
          <w:szCs w:val="20"/>
        </w:rPr>
        <w:fldChar w:fldCharType="separate"/>
      </w:r>
      <w:r w:rsidR="00AA2A72">
        <w:rPr>
          <w:rFonts w:ascii="Times New Roman" w:hAnsi="Times New Roman"/>
          <w:b w:val="0"/>
          <w:color w:val="auto"/>
          <w:sz w:val="20"/>
          <w:szCs w:val="20"/>
          <w:lang w:val="pt-BR"/>
        </w:rPr>
        <w:t>6</w:t>
      </w:r>
      <w:r w:rsidRPr="00A4097B">
        <w:rPr>
          <w:rFonts w:ascii="Times New Roman" w:hAnsi="Times New Roman"/>
          <w:b w:val="0"/>
          <w:color w:val="auto"/>
          <w:sz w:val="20"/>
          <w:szCs w:val="20"/>
        </w:rPr>
        <w:fldChar w:fldCharType="end"/>
      </w:r>
      <w:r w:rsidRPr="00A4097B">
        <w:rPr>
          <w:rFonts w:ascii="Times New Roman" w:hAnsi="Times New Roman"/>
          <w:b w:val="0"/>
          <w:color w:val="auto"/>
          <w:sz w:val="20"/>
          <w:szCs w:val="20"/>
          <w:lang w:val="pt-BR"/>
        </w:rPr>
        <w:t xml:space="preserve"> - Índices T </w:t>
      </w:r>
      <w:r w:rsidR="000E5390" w:rsidRPr="00A4097B">
        <w:rPr>
          <w:rFonts w:ascii="Times New Roman" w:hAnsi="Times New Roman"/>
          <w:b w:val="0"/>
          <w:color w:val="auto"/>
          <w:sz w:val="20"/>
          <w:szCs w:val="20"/>
          <w:lang w:val="pt-BR"/>
        </w:rPr>
        <w:t xml:space="preserve">e Nível de Comparabilidade </w:t>
      </w:r>
      <w:r w:rsidRPr="00A4097B">
        <w:rPr>
          <w:rFonts w:ascii="Times New Roman" w:hAnsi="Times New Roman"/>
          <w:b w:val="0"/>
          <w:color w:val="auto"/>
          <w:sz w:val="20"/>
          <w:szCs w:val="20"/>
          <w:lang w:val="pt-BR"/>
        </w:rPr>
        <w:t>dos Setores</w:t>
      </w:r>
    </w:p>
    <w:tbl>
      <w:tblPr>
        <w:tblW w:w="8933"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969"/>
        <w:gridCol w:w="988"/>
        <w:gridCol w:w="1103"/>
        <w:gridCol w:w="1103"/>
        <w:gridCol w:w="985"/>
        <w:gridCol w:w="1005"/>
      </w:tblGrid>
      <w:tr w:rsidR="00193255" w:rsidRPr="00A4097B" w14:paraId="4C7CBC10" w14:textId="77777777" w:rsidTr="00AB4B11">
        <w:trPr>
          <w:trHeight w:val="227"/>
          <w:jc w:val="center"/>
        </w:trPr>
        <w:tc>
          <w:tcPr>
            <w:tcW w:w="2780" w:type="dxa"/>
            <w:shd w:val="clear" w:color="auto" w:fill="DDD9C3"/>
            <w:vAlign w:val="center"/>
            <w:hideMark/>
          </w:tcPr>
          <w:p w14:paraId="67E0E919" w14:textId="77777777" w:rsidR="00375C34" w:rsidRPr="00A4097B" w:rsidRDefault="00375C34"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Setor / Índice</w:t>
            </w:r>
          </w:p>
        </w:tc>
        <w:tc>
          <w:tcPr>
            <w:tcW w:w="969" w:type="dxa"/>
            <w:shd w:val="clear" w:color="auto" w:fill="DDD9C3"/>
            <w:noWrap/>
            <w:vAlign w:val="bottom"/>
            <w:hideMark/>
          </w:tcPr>
          <w:p w14:paraId="3A5B512E" w14:textId="77777777" w:rsidR="00375C34" w:rsidRPr="00A4097B" w:rsidRDefault="00375C34"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Índice T1</w:t>
            </w:r>
          </w:p>
        </w:tc>
        <w:tc>
          <w:tcPr>
            <w:tcW w:w="988" w:type="dxa"/>
            <w:shd w:val="clear" w:color="auto" w:fill="DDD9C3"/>
            <w:vAlign w:val="center"/>
          </w:tcPr>
          <w:p w14:paraId="5C46172B" w14:textId="77777777" w:rsidR="00375C34" w:rsidRPr="00A4097B" w:rsidRDefault="0034727C"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1103" w:type="dxa"/>
            <w:shd w:val="clear" w:color="auto" w:fill="DDD9C3"/>
            <w:noWrap/>
            <w:vAlign w:val="center"/>
            <w:hideMark/>
          </w:tcPr>
          <w:p w14:paraId="07F3B513" w14:textId="77777777" w:rsidR="00375C34" w:rsidRPr="00A4097B" w:rsidRDefault="00375C34"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Índice T2</w:t>
            </w:r>
          </w:p>
        </w:tc>
        <w:tc>
          <w:tcPr>
            <w:tcW w:w="1103" w:type="dxa"/>
            <w:shd w:val="clear" w:color="auto" w:fill="DDD9C3"/>
            <w:vAlign w:val="center"/>
          </w:tcPr>
          <w:p w14:paraId="2B765552" w14:textId="77777777" w:rsidR="00375C34" w:rsidRPr="00A4097B" w:rsidRDefault="0034727C"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985" w:type="dxa"/>
            <w:shd w:val="clear" w:color="auto" w:fill="DDD9C3"/>
            <w:noWrap/>
            <w:vAlign w:val="center"/>
            <w:hideMark/>
          </w:tcPr>
          <w:p w14:paraId="75B40633" w14:textId="77777777" w:rsidR="00375C34" w:rsidRPr="00A4097B" w:rsidRDefault="00375C34"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Índice T3</w:t>
            </w:r>
          </w:p>
        </w:tc>
        <w:tc>
          <w:tcPr>
            <w:tcW w:w="1005" w:type="dxa"/>
            <w:shd w:val="clear" w:color="auto" w:fill="DDD9C3"/>
            <w:vAlign w:val="center"/>
          </w:tcPr>
          <w:p w14:paraId="165EC372" w14:textId="77777777" w:rsidR="00375C34" w:rsidRPr="00A4097B" w:rsidRDefault="0034727C"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r>
      <w:tr w:rsidR="00193255" w:rsidRPr="00A4097B" w14:paraId="687A334E" w14:textId="77777777" w:rsidTr="00C70ED1">
        <w:trPr>
          <w:trHeight w:val="227"/>
          <w:jc w:val="center"/>
        </w:trPr>
        <w:tc>
          <w:tcPr>
            <w:tcW w:w="2780" w:type="dxa"/>
            <w:shd w:val="clear" w:color="auto" w:fill="auto"/>
            <w:noWrap/>
            <w:vAlign w:val="center"/>
          </w:tcPr>
          <w:p w14:paraId="68478ED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 xml:space="preserve">Petróleo, Gás e </w:t>
            </w:r>
            <w:proofErr w:type="gramStart"/>
            <w:r w:rsidRPr="00A4097B">
              <w:rPr>
                <w:rFonts w:ascii="Times New Roman" w:eastAsia="Times New Roman" w:hAnsi="Times New Roman"/>
                <w:noProof w:val="0"/>
                <w:sz w:val="20"/>
                <w:szCs w:val="20"/>
                <w:lang w:val="pt-BR" w:eastAsia="pt-BR"/>
              </w:rPr>
              <w:t>Biocombustíveis</w:t>
            </w:r>
            <w:proofErr w:type="gramEnd"/>
          </w:p>
        </w:tc>
        <w:tc>
          <w:tcPr>
            <w:tcW w:w="969" w:type="dxa"/>
            <w:shd w:val="clear" w:color="auto" w:fill="auto"/>
            <w:noWrap/>
            <w:vAlign w:val="center"/>
          </w:tcPr>
          <w:p w14:paraId="1C40F1C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988" w:type="dxa"/>
            <w:shd w:val="clear" w:color="auto" w:fill="auto"/>
            <w:vAlign w:val="center"/>
          </w:tcPr>
          <w:p w14:paraId="0288474C"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1103" w:type="dxa"/>
            <w:shd w:val="clear" w:color="auto" w:fill="auto"/>
            <w:noWrap/>
            <w:vAlign w:val="center"/>
          </w:tcPr>
          <w:p w14:paraId="4123E695"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103" w:type="dxa"/>
            <w:shd w:val="clear" w:color="auto" w:fill="auto"/>
            <w:vAlign w:val="center"/>
          </w:tcPr>
          <w:p w14:paraId="1951AFE9"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6DD63696"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005" w:type="dxa"/>
            <w:shd w:val="clear" w:color="auto" w:fill="auto"/>
            <w:vAlign w:val="center"/>
          </w:tcPr>
          <w:p w14:paraId="4DF91A7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r>
      <w:tr w:rsidR="00193255" w:rsidRPr="00A4097B" w14:paraId="538724CC" w14:textId="77777777" w:rsidTr="00C70ED1">
        <w:trPr>
          <w:trHeight w:val="227"/>
          <w:jc w:val="center"/>
        </w:trPr>
        <w:tc>
          <w:tcPr>
            <w:tcW w:w="2780" w:type="dxa"/>
            <w:shd w:val="clear" w:color="auto" w:fill="auto"/>
            <w:noWrap/>
            <w:vAlign w:val="center"/>
          </w:tcPr>
          <w:p w14:paraId="330F27E1"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Tecnologia da Informação</w:t>
            </w:r>
          </w:p>
        </w:tc>
        <w:tc>
          <w:tcPr>
            <w:tcW w:w="969" w:type="dxa"/>
            <w:shd w:val="clear" w:color="auto" w:fill="auto"/>
            <w:noWrap/>
            <w:vAlign w:val="center"/>
          </w:tcPr>
          <w:p w14:paraId="6779B5D5"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988" w:type="dxa"/>
            <w:shd w:val="clear" w:color="auto" w:fill="auto"/>
            <w:vAlign w:val="center"/>
          </w:tcPr>
          <w:p w14:paraId="43419714"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1103" w:type="dxa"/>
            <w:shd w:val="clear" w:color="auto" w:fill="auto"/>
            <w:noWrap/>
            <w:vAlign w:val="center"/>
          </w:tcPr>
          <w:p w14:paraId="464DA6EB"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103" w:type="dxa"/>
            <w:shd w:val="clear" w:color="auto" w:fill="auto"/>
            <w:vAlign w:val="center"/>
          </w:tcPr>
          <w:p w14:paraId="2C09583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7D8B1850"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005" w:type="dxa"/>
            <w:shd w:val="clear" w:color="auto" w:fill="auto"/>
            <w:vAlign w:val="center"/>
          </w:tcPr>
          <w:p w14:paraId="5C30B470"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r>
      <w:tr w:rsidR="00193255" w:rsidRPr="00A4097B" w14:paraId="66E3B401" w14:textId="77777777" w:rsidTr="00C70ED1">
        <w:trPr>
          <w:trHeight w:val="227"/>
          <w:jc w:val="center"/>
        </w:trPr>
        <w:tc>
          <w:tcPr>
            <w:tcW w:w="2780" w:type="dxa"/>
            <w:shd w:val="clear" w:color="auto" w:fill="auto"/>
            <w:noWrap/>
            <w:vAlign w:val="center"/>
          </w:tcPr>
          <w:p w14:paraId="029B8679"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Telecomunicações</w:t>
            </w:r>
          </w:p>
        </w:tc>
        <w:tc>
          <w:tcPr>
            <w:tcW w:w="969" w:type="dxa"/>
            <w:shd w:val="clear" w:color="auto" w:fill="auto"/>
            <w:noWrap/>
            <w:vAlign w:val="center"/>
          </w:tcPr>
          <w:p w14:paraId="238273B3"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988" w:type="dxa"/>
            <w:shd w:val="clear" w:color="auto" w:fill="auto"/>
            <w:vAlign w:val="center"/>
          </w:tcPr>
          <w:p w14:paraId="5E9D662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1103" w:type="dxa"/>
            <w:shd w:val="clear" w:color="auto" w:fill="auto"/>
            <w:noWrap/>
            <w:vAlign w:val="center"/>
          </w:tcPr>
          <w:p w14:paraId="5764EBFD"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103" w:type="dxa"/>
            <w:shd w:val="clear" w:color="auto" w:fill="auto"/>
            <w:vAlign w:val="center"/>
          </w:tcPr>
          <w:p w14:paraId="55BE327C"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7CA39643"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005" w:type="dxa"/>
            <w:shd w:val="clear" w:color="auto" w:fill="auto"/>
            <w:vAlign w:val="center"/>
          </w:tcPr>
          <w:p w14:paraId="2AC872AA"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r>
      <w:tr w:rsidR="00193255" w:rsidRPr="00A4097B" w14:paraId="0DFC3387" w14:textId="77777777" w:rsidTr="00C70ED1">
        <w:trPr>
          <w:trHeight w:val="227"/>
          <w:jc w:val="center"/>
        </w:trPr>
        <w:tc>
          <w:tcPr>
            <w:tcW w:w="2780" w:type="dxa"/>
            <w:shd w:val="clear" w:color="auto" w:fill="auto"/>
            <w:noWrap/>
            <w:vAlign w:val="center"/>
          </w:tcPr>
          <w:p w14:paraId="487D78C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Saúde</w:t>
            </w:r>
          </w:p>
        </w:tc>
        <w:tc>
          <w:tcPr>
            <w:tcW w:w="969" w:type="dxa"/>
            <w:shd w:val="clear" w:color="auto" w:fill="auto"/>
            <w:noWrap/>
            <w:vAlign w:val="center"/>
          </w:tcPr>
          <w:p w14:paraId="10906D00"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988" w:type="dxa"/>
            <w:shd w:val="clear" w:color="auto" w:fill="auto"/>
            <w:vAlign w:val="center"/>
          </w:tcPr>
          <w:p w14:paraId="0FB25DA3"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1103" w:type="dxa"/>
            <w:shd w:val="clear" w:color="auto" w:fill="auto"/>
            <w:noWrap/>
            <w:vAlign w:val="center"/>
          </w:tcPr>
          <w:p w14:paraId="48BEF860"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103" w:type="dxa"/>
            <w:shd w:val="clear" w:color="auto" w:fill="auto"/>
            <w:vAlign w:val="center"/>
          </w:tcPr>
          <w:p w14:paraId="614B639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2439C86B"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0,11</w:t>
            </w:r>
          </w:p>
        </w:tc>
        <w:tc>
          <w:tcPr>
            <w:tcW w:w="1005" w:type="dxa"/>
            <w:shd w:val="clear" w:color="auto" w:fill="auto"/>
            <w:vAlign w:val="center"/>
          </w:tcPr>
          <w:p w14:paraId="57CA7BCC"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r w:rsidR="00193255" w:rsidRPr="00A4097B" w14:paraId="72D62CEF" w14:textId="77777777" w:rsidTr="00C70ED1">
        <w:trPr>
          <w:trHeight w:val="227"/>
          <w:jc w:val="center"/>
        </w:trPr>
        <w:tc>
          <w:tcPr>
            <w:tcW w:w="2780" w:type="dxa"/>
            <w:shd w:val="clear" w:color="auto" w:fill="auto"/>
            <w:noWrap/>
            <w:vAlign w:val="center"/>
          </w:tcPr>
          <w:p w14:paraId="1F51838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Utilidade Pública</w:t>
            </w:r>
          </w:p>
        </w:tc>
        <w:tc>
          <w:tcPr>
            <w:tcW w:w="969" w:type="dxa"/>
            <w:shd w:val="clear" w:color="auto" w:fill="auto"/>
            <w:noWrap/>
            <w:vAlign w:val="center"/>
          </w:tcPr>
          <w:p w14:paraId="152FC8C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988" w:type="dxa"/>
            <w:shd w:val="clear" w:color="auto" w:fill="auto"/>
            <w:vAlign w:val="center"/>
          </w:tcPr>
          <w:p w14:paraId="65375CDA"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1103" w:type="dxa"/>
            <w:shd w:val="clear" w:color="auto" w:fill="auto"/>
            <w:noWrap/>
            <w:vAlign w:val="center"/>
          </w:tcPr>
          <w:p w14:paraId="17F2051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1,00</w:t>
            </w:r>
          </w:p>
        </w:tc>
        <w:tc>
          <w:tcPr>
            <w:tcW w:w="1103" w:type="dxa"/>
            <w:shd w:val="clear" w:color="auto" w:fill="auto"/>
            <w:vAlign w:val="center"/>
          </w:tcPr>
          <w:p w14:paraId="3ABB154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362C4CA4"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0,11</w:t>
            </w:r>
          </w:p>
        </w:tc>
        <w:tc>
          <w:tcPr>
            <w:tcW w:w="1005" w:type="dxa"/>
            <w:shd w:val="clear" w:color="auto" w:fill="auto"/>
            <w:vAlign w:val="center"/>
          </w:tcPr>
          <w:p w14:paraId="5C84EF1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r w:rsidR="00193255" w:rsidRPr="00A4097B" w14:paraId="6F509B82" w14:textId="77777777" w:rsidTr="00C70ED1">
        <w:trPr>
          <w:trHeight w:val="227"/>
          <w:jc w:val="center"/>
        </w:trPr>
        <w:tc>
          <w:tcPr>
            <w:tcW w:w="2780" w:type="dxa"/>
            <w:shd w:val="clear" w:color="auto" w:fill="auto"/>
            <w:noWrap/>
            <w:vAlign w:val="center"/>
          </w:tcPr>
          <w:p w14:paraId="1D86C144"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Cíclico</w:t>
            </w:r>
          </w:p>
        </w:tc>
        <w:tc>
          <w:tcPr>
            <w:tcW w:w="969" w:type="dxa"/>
            <w:shd w:val="clear" w:color="auto" w:fill="auto"/>
            <w:noWrap/>
            <w:vAlign w:val="center"/>
          </w:tcPr>
          <w:p w14:paraId="55B10BAB"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0,54</w:t>
            </w:r>
          </w:p>
        </w:tc>
        <w:tc>
          <w:tcPr>
            <w:tcW w:w="988" w:type="dxa"/>
            <w:shd w:val="clear" w:color="auto" w:fill="auto"/>
            <w:vAlign w:val="center"/>
          </w:tcPr>
          <w:p w14:paraId="0419814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1103" w:type="dxa"/>
            <w:shd w:val="clear" w:color="auto" w:fill="auto"/>
            <w:noWrap/>
            <w:vAlign w:val="center"/>
          </w:tcPr>
          <w:p w14:paraId="618158A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0,78</w:t>
            </w:r>
          </w:p>
        </w:tc>
        <w:tc>
          <w:tcPr>
            <w:tcW w:w="1103" w:type="dxa"/>
            <w:shd w:val="clear" w:color="auto" w:fill="auto"/>
            <w:vAlign w:val="center"/>
          </w:tcPr>
          <w:p w14:paraId="3A340DE3"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985" w:type="dxa"/>
            <w:shd w:val="clear" w:color="auto" w:fill="auto"/>
            <w:noWrap/>
            <w:vAlign w:val="center"/>
          </w:tcPr>
          <w:p w14:paraId="7A058EE9"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0,26</w:t>
            </w:r>
          </w:p>
        </w:tc>
        <w:tc>
          <w:tcPr>
            <w:tcW w:w="1005" w:type="dxa"/>
            <w:shd w:val="clear" w:color="auto" w:fill="auto"/>
            <w:vAlign w:val="center"/>
          </w:tcPr>
          <w:p w14:paraId="42486B7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r w:rsidR="00193255" w:rsidRPr="00A4097B" w14:paraId="31754F17" w14:textId="77777777" w:rsidTr="00C70ED1">
        <w:trPr>
          <w:trHeight w:val="227"/>
          <w:jc w:val="center"/>
        </w:trPr>
        <w:tc>
          <w:tcPr>
            <w:tcW w:w="2780" w:type="dxa"/>
            <w:shd w:val="clear" w:color="auto" w:fill="auto"/>
            <w:noWrap/>
            <w:vAlign w:val="center"/>
          </w:tcPr>
          <w:p w14:paraId="026AC929"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Financeiro e Outros</w:t>
            </w:r>
          </w:p>
        </w:tc>
        <w:tc>
          <w:tcPr>
            <w:tcW w:w="969" w:type="dxa"/>
            <w:shd w:val="clear" w:color="auto" w:fill="auto"/>
            <w:noWrap/>
            <w:vAlign w:val="center"/>
          </w:tcPr>
          <w:p w14:paraId="55B3D1FB"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0,51</w:t>
            </w:r>
          </w:p>
        </w:tc>
        <w:tc>
          <w:tcPr>
            <w:tcW w:w="988" w:type="dxa"/>
            <w:shd w:val="clear" w:color="auto" w:fill="auto"/>
            <w:vAlign w:val="center"/>
          </w:tcPr>
          <w:p w14:paraId="6E8B6AD7"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1103" w:type="dxa"/>
            <w:shd w:val="clear" w:color="auto" w:fill="auto"/>
            <w:noWrap/>
            <w:vAlign w:val="center"/>
          </w:tcPr>
          <w:p w14:paraId="758EB715"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0,59</w:t>
            </w:r>
          </w:p>
        </w:tc>
        <w:tc>
          <w:tcPr>
            <w:tcW w:w="1103" w:type="dxa"/>
            <w:shd w:val="clear" w:color="auto" w:fill="auto"/>
            <w:vAlign w:val="center"/>
          </w:tcPr>
          <w:p w14:paraId="7F129FE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985" w:type="dxa"/>
            <w:shd w:val="clear" w:color="auto" w:fill="auto"/>
            <w:noWrap/>
            <w:vAlign w:val="center"/>
          </w:tcPr>
          <w:p w14:paraId="088E5EA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0,44</w:t>
            </w:r>
          </w:p>
        </w:tc>
        <w:tc>
          <w:tcPr>
            <w:tcW w:w="1005" w:type="dxa"/>
            <w:shd w:val="clear" w:color="auto" w:fill="auto"/>
            <w:vAlign w:val="center"/>
          </w:tcPr>
          <w:p w14:paraId="58D2FE5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r w:rsidR="00193255" w:rsidRPr="00A4097B" w14:paraId="37D4E6E3" w14:textId="77777777" w:rsidTr="00C70ED1">
        <w:trPr>
          <w:trHeight w:val="227"/>
          <w:jc w:val="center"/>
        </w:trPr>
        <w:tc>
          <w:tcPr>
            <w:tcW w:w="2780" w:type="dxa"/>
            <w:shd w:val="clear" w:color="auto" w:fill="auto"/>
            <w:noWrap/>
            <w:vAlign w:val="center"/>
          </w:tcPr>
          <w:p w14:paraId="7C67F141"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Bens Industriais</w:t>
            </w:r>
          </w:p>
        </w:tc>
        <w:tc>
          <w:tcPr>
            <w:tcW w:w="969" w:type="dxa"/>
            <w:shd w:val="clear" w:color="auto" w:fill="auto"/>
            <w:noWrap/>
            <w:vAlign w:val="center"/>
          </w:tcPr>
          <w:p w14:paraId="3A9F4AE4"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0,52</w:t>
            </w:r>
          </w:p>
        </w:tc>
        <w:tc>
          <w:tcPr>
            <w:tcW w:w="988" w:type="dxa"/>
            <w:shd w:val="clear" w:color="auto" w:fill="auto"/>
            <w:vAlign w:val="center"/>
          </w:tcPr>
          <w:p w14:paraId="0C08E579"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1103" w:type="dxa"/>
            <w:shd w:val="clear" w:color="auto" w:fill="auto"/>
            <w:noWrap/>
            <w:vAlign w:val="center"/>
          </w:tcPr>
          <w:p w14:paraId="4C5801DD"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0,60</w:t>
            </w:r>
          </w:p>
        </w:tc>
        <w:tc>
          <w:tcPr>
            <w:tcW w:w="1103" w:type="dxa"/>
            <w:shd w:val="clear" w:color="auto" w:fill="auto"/>
            <w:vAlign w:val="center"/>
          </w:tcPr>
          <w:p w14:paraId="674C49E2"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985" w:type="dxa"/>
            <w:shd w:val="clear" w:color="auto" w:fill="auto"/>
            <w:noWrap/>
            <w:vAlign w:val="center"/>
          </w:tcPr>
          <w:p w14:paraId="74BB51B1"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0,43</w:t>
            </w:r>
          </w:p>
        </w:tc>
        <w:tc>
          <w:tcPr>
            <w:tcW w:w="1005" w:type="dxa"/>
            <w:shd w:val="clear" w:color="auto" w:fill="auto"/>
            <w:vAlign w:val="center"/>
          </w:tcPr>
          <w:p w14:paraId="5139F766"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r w:rsidR="00193255" w:rsidRPr="00A4097B" w14:paraId="39B28417" w14:textId="77777777" w:rsidTr="00C70ED1">
        <w:trPr>
          <w:trHeight w:val="227"/>
          <w:jc w:val="center"/>
        </w:trPr>
        <w:tc>
          <w:tcPr>
            <w:tcW w:w="2780" w:type="dxa"/>
            <w:shd w:val="clear" w:color="auto" w:fill="auto"/>
            <w:noWrap/>
            <w:vAlign w:val="center"/>
          </w:tcPr>
          <w:p w14:paraId="7DAA5C57"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Consumo Não Cíclico</w:t>
            </w:r>
          </w:p>
        </w:tc>
        <w:tc>
          <w:tcPr>
            <w:tcW w:w="969" w:type="dxa"/>
            <w:shd w:val="clear" w:color="auto" w:fill="auto"/>
            <w:noWrap/>
            <w:vAlign w:val="center"/>
          </w:tcPr>
          <w:p w14:paraId="0BA5798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0,51</w:t>
            </w:r>
          </w:p>
        </w:tc>
        <w:tc>
          <w:tcPr>
            <w:tcW w:w="988" w:type="dxa"/>
            <w:shd w:val="clear" w:color="auto" w:fill="auto"/>
            <w:vAlign w:val="center"/>
          </w:tcPr>
          <w:p w14:paraId="6635117A"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1103" w:type="dxa"/>
            <w:shd w:val="clear" w:color="auto" w:fill="auto"/>
            <w:noWrap/>
            <w:vAlign w:val="center"/>
          </w:tcPr>
          <w:p w14:paraId="1CEC6DCF"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0,51</w:t>
            </w:r>
          </w:p>
        </w:tc>
        <w:tc>
          <w:tcPr>
            <w:tcW w:w="1103" w:type="dxa"/>
            <w:shd w:val="clear" w:color="auto" w:fill="auto"/>
            <w:vAlign w:val="center"/>
          </w:tcPr>
          <w:p w14:paraId="353D54AC"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985" w:type="dxa"/>
            <w:shd w:val="clear" w:color="auto" w:fill="auto"/>
            <w:noWrap/>
            <w:vAlign w:val="center"/>
          </w:tcPr>
          <w:p w14:paraId="0CE6265A"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0,51</w:t>
            </w:r>
          </w:p>
        </w:tc>
        <w:tc>
          <w:tcPr>
            <w:tcW w:w="1005" w:type="dxa"/>
            <w:shd w:val="clear" w:color="auto" w:fill="auto"/>
            <w:vAlign w:val="center"/>
          </w:tcPr>
          <w:p w14:paraId="7459F254"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r>
      <w:tr w:rsidR="00193255" w:rsidRPr="00A4097B" w14:paraId="2AD6346A" w14:textId="77777777" w:rsidTr="00C70ED1">
        <w:trPr>
          <w:trHeight w:val="227"/>
          <w:jc w:val="center"/>
        </w:trPr>
        <w:tc>
          <w:tcPr>
            <w:tcW w:w="2780" w:type="dxa"/>
            <w:shd w:val="clear" w:color="auto" w:fill="auto"/>
            <w:noWrap/>
            <w:vAlign w:val="center"/>
          </w:tcPr>
          <w:p w14:paraId="10823EB3"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Materiais Básicos</w:t>
            </w:r>
          </w:p>
        </w:tc>
        <w:tc>
          <w:tcPr>
            <w:tcW w:w="969" w:type="dxa"/>
            <w:shd w:val="clear" w:color="auto" w:fill="auto"/>
            <w:noWrap/>
            <w:vAlign w:val="center"/>
          </w:tcPr>
          <w:p w14:paraId="6FAC126B"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0,50</w:t>
            </w:r>
          </w:p>
        </w:tc>
        <w:tc>
          <w:tcPr>
            <w:tcW w:w="988" w:type="dxa"/>
            <w:shd w:val="clear" w:color="auto" w:fill="auto"/>
            <w:vAlign w:val="center"/>
          </w:tcPr>
          <w:p w14:paraId="374B9852"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1103" w:type="dxa"/>
            <w:shd w:val="clear" w:color="auto" w:fill="auto"/>
            <w:noWrap/>
            <w:vAlign w:val="center"/>
          </w:tcPr>
          <w:p w14:paraId="6A1F4898"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0,68</w:t>
            </w:r>
          </w:p>
        </w:tc>
        <w:tc>
          <w:tcPr>
            <w:tcW w:w="1103" w:type="dxa"/>
            <w:shd w:val="clear" w:color="auto" w:fill="auto"/>
            <w:vAlign w:val="center"/>
          </w:tcPr>
          <w:p w14:paraId="4D30E202"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985" w:type="dxa"/>
            <w:shd w:val="clear" w:color="auto" w:fill="auto"/>
            <w:noWrap/>
            <w:vAlign w:val="center"/>
          </w:tcPr>
          <w:p w14:paraId="675B4B0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0,32</w:t>
            </w:r>
          </w:p>
        </w:tc>
        <w:tc>
          <w:tcPr>
            <w:tcW w:w="1005" w:type="dxa"/>
            <w:shd w:val="clear" w:color="auto" w:fill="auto"/>
            <w:vAlign w:val="center"/>
          </w:tcPr>
          <w:p w14:paraId="345B3A3E" w14:textId="77777777" w:rsidR="002367FA" w:rsidRPr="00A4097B" w:rsidRDefault="002367FA"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bl>
    <w:p w14:paraId="76A5A2D1" w14:textId="77777777" w:rsidR="00160C64" w:rsidRDefault="00160C64" w:rsidP="008E7DAE">
      <w:pPr>
        <w:spacing w:after="0" w:line="240" w:lineRule="auto"/>
        <w:rPr>
          <w:rFonts w:ascii="Times New Roman" w:hAnsi="Times New Roman"/>
          <w:sz w:val="20"/>
          <w:szCs w:val="20"/>
        </w:rPr>
      </w:pPr>
      <w:r w:rsidRPr="00A4097B">
        <w:rPr>
          <w:rFonts w:ascii="Times New Roman" w:hAnsi="Times New Roman"/>
          <w:sz w:val="20"/>
          <w:szCs w:val="20"/>
        </w:rPr>
        <w:t>Fonte: Elaborado pelos autores.</w:t>
      </w:r>
    </w:p>
    <w:p w14:paraId="5B32C82E" w14:textId="77777777" w:rsidR="004F54B0" w:rsidRPr="00A065E0" w:rsidRDefault="004F54B0" w:rsidP="008E7DAE">
      <w:pPr>
        <w:spacing w:after="0" w:line="240" w:lineRule="auto"/>
        <w:rPr>
          <w:rFonts w:ascii="Times New Roman" w:hAnsi="Times New Roman"/>
          <w:sz w:val="20"/>
          <w:szCs w:val="20"/>
        </w:rPr>
      </w:pPr>
    </w:p>
    <w:p w14:paraId="4B6423BC" w14:textId="4AAC0E62" w:rsidR="00277B12" w:rsidRPr="00A232C9" w:rsidRDefault="00BE2078" w:rsidP="008E7DAE">
      <w:pPr>
        <w:spacing w:after="0" w:line="240" w:lineRule="auto"/>
        <w:jc w:val="both"/>
        <w:rPr>
          <w:rFonts w:ascii="Times New Roman" w:hAnsi="Times New Roman"/>
          <w:sz w:val="24"/>
          <w:szCs w:val="24"/>
          <w:lang w:val="pt-BR"/>
        </w:rPr>
      </w:pPr>
      <w:r w:rsidRPr="00A232C9">
        <w:rPr>
          <w:rFonts w:ascii="Times New Roman" w:hAnsi="Times New Roman"/>
          <w:b/>
          <w:sz w:val="24"/>
          <w:szCs w:val="24"/>
          <w:lang w:val="pt-BR"/>
        </w:rPr>
        <w:tab/>
      </w:r>
      <w:r w:rsidRPr="00A232C9">
        <w:rPr>
          <w:rFonts w:ascii="Times New Roman" w:hAnsi="Times New Roman"/>
          <w:sz w:val="24"/>
          <w:szCs w:val="24"/>
          <w:lang w:val="pt-BR"/>
        </w:rPr>
        <w:t xml:space="preserve">Conforme a Tabela </w:t>
      </w:r>
      <w:r w:rsidR="00AA2A72">
        <w:rPr>
          <w:rFonts w:ascii="Times New Roman" w:hAnsi="Times New Roman"/>
          <w:sz w:val="24"/>
          <w:szCs w:val="24"/>
          <w:lang w:val="pt-BR"/>
        </w:rPr>
        <w:t>6</w:t>
      </w:r>
      <w:r w:rsidRPr="00A232C9">
        <w:rPr>
          <w:rFonts w:ascii="Times New Roman" w:hAnsi="Times New Roman"/>
          <w:sz w:val="24"/>
          <w:szCs w:val="24"/>
          <w:lang w:val="pt-BR"/>
        </w:rPr>
        <w:t xml:space="preserve">, é possível verificar que os setores de Petróleo, Gás e Biocombustíveis, Tecnologia da Informação e Telecomunicações apresentaram um índice T de harmonia, independentemente da abordagem, no valor de 1,00. Ou seja, as empresas possuem </w:t>
      </w:r>
      <w:r w:rsidR="00CE7F43" w:rsidRPr="00A232C9">
        <w:rPr>
          <w:rFonts w:ascii="Times New Roman" w:hAnsi="Times New Roman"/>
          <w:sz w:val="24"/>
          <w:szCs w:val="24"/>
          <w:lang w:val="pt-BR"/>
        </w:rPr>
        <w:t>um nível total de</w:t>
      </w:r>
      <w:r w:rsidRPr="00A232C9">
        <w:rPr>
          <w:rFonts w:ascii="Times New Roman" w:hAnsi="Times New Roman"/>
          <w:sz w:val="24"/>
          <w:szCs w:val="24"/>
          <w:lang w:val="pt-BR"/>
        </w:rPr>
        <w:t xml:space="preserve"> comparabilidade</w:t>
      </w:r>
      <w:r w:rsidR="00CE7F43" w:rsidRPr="00A232C9">
        <w:rPr>
          <w:rFonts w:ascii="Times New Roman" w:hAnsi="Times New Roman"/>
          <w:sz w:val="24"/>
          <w:szCs w:val="24"/>
          <w:lang w:val="pt-BR"/>
        </w:rPr>
        <w:t xml:space="preserve">. </w:t>
      </w:r>
      <w:r w:rsidR="00AF61C9" w:rsidRPr="00A232C9">
        <w:rPr>
          <w:rFonts w:ascii="Times New Roman" w:hAnsi="Times New Roman"/>
          <w:sz w:val="24"/>
          <w:szCs w:val="24"/>
          <w:lang w:val="pt-BR"/>
        </w:rPr>
        <w:t xml:space="preserve">Os índices apresentaram-se semelhantes nas </w:t>
      </w:r>
      <w:r w:rsidR="00CE7F43" w:rsidRPr="00A232C9">
        <w:rPr>
          <w:rFonts w:ascii="Times New Roman" w:hAnsi="Times New Roman"/>
          <w:sz w:val="24"/>
          <w:szCs w:val="24"/>
          <w:lang w:val="pt-BR"/>
        </w:rPr>
        <w:t>três abordagens</w:t>
      </w:r>
      <w:r w:rsidR="00AF61C9" w:rsidRPr="00A232C9">
        <w:rPr>
          <w:rFonts w:ascii="Times New Roman" w:hAnsi="Times New Roman"/>
          <w:sz w:val="24"/>
          <w:szCs w:val="24"/>
          <w:lang w:val="pt-BR"/>
        </w:rPr>
        <w:t xml:space="preserve"> </w:t>
      </w:r>
      <w:r w:rsidR="00B75331" w:rsidRPr="00A232C9">
        <w:rPr>
          <w:rFonts w:ascii="Times New Roman" w:hAnsi="Times New Roman"/>
          <w:sz w:val="24"/>
          <w:szCs w:val="24"/>
          <w:lang w:val="pt-BR"/>
        </w:rPr>
        <w:t>uma vez</w:t>
      </w:r>
      <w:r w:rsidR="00AF61C9" w:rsidRPr="00A232C9">
        <w:rPr>
          <w:rFonts w:ascii="Times New Roman" w:hAnsi="Times New Roman"/>
          <w:sz w:val="24"/>
          <w:szCs w:val="24"/>
          <w:lang w:val="pt-BR"/>
        </w:rPr>
        <w:t xml:space="preserve"> que </w:t>
      </w:r>
      <w:r w:rsidR="00AD5CDF" w:rsidRPr="00A232C9">
        <w:rPr>
          <w:rFonts w:ascii="Times New Roman" w:hAnsi="Times New Roman"/>
          <w:sz w:val="24"/>
          <w:szCs w:val="24"/>
          <w:lang w:val="pt-BR"/>
        </w:rPr>
        <w:t>não ocorreram casos de não divulgação a respeito</w:t>
      </w:r>
      <w:r w:rsidR="00AF61C9" w:rsidRPr="00A232C9">
        <w:rPr>
          <w:rFonts w:ascii="Times New Roman" w:hAnsi="Times New Roman"/>
          <w:sz w:val="24"/>
          <w:szCs w:val="24"/>
          <w:lang w:val="pt-BR"/>
        </w:rPr>
        <w:t xml:space="preserve"> </w:t>
      </w:r>
      <w:r w:rsidR="00AD5CDF" w:rsidRPr="00A232C9">
        <w:rPr>
          <w:rFonts w:ascii="Times New Roman" w:hAnsi="Times New Roman"/>
          <w:sz w:val="24"/>
          <w:szCs w:val="24"/>
          <w:lang w:val="pt-BR"/>
        </w:rPr>
        <w:t>d</w:t>
      </w:r>
      <w:r w:rsidR="00AF61C9" w:rsidRPr="00A232C9">
        <w:rPr>
          <w:rFonts w:ascii="Times New Roman" w:hAnsi="Times New Roman"/>
          <w:sz w:val="24"/>
          <w:szCs w:val="24"/>
          <w:lang w:val="pt-BR"/>
        </w:rPr>
        <w:t xml:space="preserve">o método de mensuração das PPI. Além disso, é importante destacar que são poucas as </w:t>
      </w:r>
      <w:r w:rsidR="00CE7F43" w:rsidRPr="00A232C9">
        <w:rPr>
          <w:rFonts w:ascii="Times New Roman" w:hAnsi="Times New Roman"/>
          <w:sz w:val="24"/>
          <w:szCs w:val="24"/>
          <w:lang w:val="pt-BR"/>
        </w:rPr>
        <w:t>companhias</w:t>
      </w:r>
      <w:r w:rsidR="00AF61C9" w:rsidRPr="00A232C9">
        <w:rPr>
          <w:rFonts w:ascii="Times New Roman" w:hAnsi="Times New Roman"/>
          <w:sz w:val="24"/>
          <w:szCs w:val="24"/>
          <w:lang w:val="pt-BR"/>
        </w:rPr>
        <w:t xml:space="preserve"> </w:t>
      </w:r>
      <w:r w:rsidR="00CE7F43" w:rsidRPr="00A232C9">
        <w:rPr>
          <w:rFonts w:ascii="Times New Roman" w:hAnsi="Times New Roman"/>
          <w:sz w:val="24"/>
          <w:szCs w:val="24"/>
          <w:lang w:val="pt-BR"/>
        </w:rPr>
        <w:t xml:space="preserve">da amostra em geral </w:t>
      </w:r>
      <w:r w:rsidR="00AF61C9" w:rsidRPr="00A232C9">
        <w:rPr>
          <w:rFonts w:ascii="Times New Roman" w:hAnsi="Times New Roman"/>
          <w:sz w:val="24"/>
          <w:szCs w:val="24"/>
          <w:lang w:val="pt-BR"/>
        </w:rPr>
        <w:t>pertencentes a estes setores</w:t>
      </w:r>
      <w:r w:rsidR="00CE7F43" w:rsidRPr="00A232C9">
        <w:rPr>
          <w:rFonts w:ascii="Times New Roman" w:hAnsi="Times New Roman"/>
          <w:sz w:val="24"/>
          <w:szCs w:val="24"/>
          <w:lang w:val="pt-BR"/>
        </w:rPr>
        <w:t xml:space="preserve"> (2 – Petróleo, Gás e Biocombustíveis; 1 – Tecnologia da Informação; 1 – Telecomunicações).</w:t>
      </w:r>
    </w:p>
    <w:p w14:paraId="5BBBCE38" w14:textId="52968167" w:rsidR="00CE7F43" w:rsidRPr="00A232C9" w:rsidRDefault="00CE7F43"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 xml:space="preserve">Os setores de Saúde e Utilidade Pública apresentaram índices T similares, sendo que T1 e T2 foram iguais a 1,00 e T3 apresentou o valor de 0,11. Desta forma, as </w:t>
      </w:r>
      <w:r w:rsidR="00AD5CDF" w:rsidRPr="00A232C9">
        <w:rPr>
          <w:rFonts w:ascii="Times New Roman" w:hAnsi="Times New Roman"/>
          <w:sz w:val="24"/>
          <w:szCs w:val="24"/>
          <w:lang w:val="pt-BR"/>
        </w:rPr>
        <w:t xml:space="preserve">duas primeiras </w:t>
      </w:r>
      <w:r w:rsidRPr="00A232C9">
        <w:rPr>
          <w:rFonts w:ascii="Times New Roman" w:hAnsi="Times New Roman"/>
          <w:sz w:val="24"/>
          <w:szCs w:val="24"/>
          <w:lang w:val="pt-BR"/>
        </w:rPr>
        <w:t xml:space="preserve">abordagens indicam alta comparabilidade, porém a última abordagem revela uma baixa comparabilidade. Tal fato pode ser explicado pela alta representatividade de empresas do setor que não evidenciaram o método contábil de mensuração e pelo fato de que as demais optaram apenas por um dos dois métodos </w:t>
      </w:r>
      <w:r w:rsidR="0091768F" w:rsidRPr="00A232C9">
        <w:rPr>
          <w:rFonts w:ascii="Times New Roman" w:hAnsi="Times New Roman"/>
          <w:sz w:val="24"/>
          <w:szCs w:val="24"/>
          <w:lang w:val="pt-BR"/>
        </w:rPr>
        <w:t>(no</w:t>
      </w:r>
      <w:r w:rsidRPr="00A232C9">
        <w:rPr>
          <w:rFonts w:ascii="Times New Roman" w:hAnsi="Times New Roman"/>
          <w:sz w:val="24"/>
          <w:szCs w:val="24"/>
          <w:lang w:val="pt-BR"/>
        </w:rPr>
        <w:t xml:space="preserve"> caso o </w:t>
      </w:r>
      <w:r w:rsidR="0091768F" w:rsidRPr="00A232C9">
        <w:rPr>
          <w:rFonts w:ascii="Times New Roman" w:hAnsi="Times New Roman"/>
          <w:sz w:val="24"/>
          <w:szCs w:val="24"/>
          <w:lang w:val="pt-BR"/>
        </w:rPr>
        <w:t xml:space="preserve">método </w:t>
      </w:r>
      <w:r w:rsidRPr="00A232C9">
        <w:rPr>
          <w:rFonts w:ascii="Times New Roman" w:hAnsi="Times New Roman"/>
          <w:sz w:val="24"/>
          <w:szCs w:val="24"/>
          <w:lang w:val="pt-BR"/>
        </w:rPr>
        <w:t>de custo</w:t>
      </w:r>
      <w:r w:rsidR="0091768F" w:rsidRPr="00A232C9">
        <w:rPr>
          <w:rFonts w:ascii="Times New Roman" w:hAnsi="Times New Roman"/>
          <w:sz w:val="24"/>
          <w:szCs w:val="24"/>
          <w:lang w:val="pt-BR"/>
        </w:rPr>
        <w:t>)</w:t>
      </w:r>
      <w:r w:rsidRPr="00A232C9">
        <w:rPr>
          <w:rFonts w:ascii="Times New Roman" w:hAnsi="Times New Roman"/>
          <w:sz w:val="24"/>
          <w:szCs w:val="24"/>
          <w:lang w:val="pt-BR"/>
        </w:rPr>
        <w:t>.</w:t>
      </w:r>
    </w:p>
    <w:p w14:paraId="4EE31BE6" w14:textId="49CFB870" w:rsidR="00CE7F43" w:rsidRPr="00A232C9" w:rsidRDefault="00EA28A1"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As empresas pertencentes ao setor de Consumo Cíclico</w:t>
      </w:r>
      <w:r w:rsidR="00E3235A"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apresentaram diferentes níveis de comparabilidade de acordo com a abordagem: uma média comparabilidade (T1), uma alta comparabilidade (T2) e uma baixa comparabilidade (T3). </w:t>
      </w:r>
      <w:r w:rsidR="00E3235A" w:rsidRPr="00A232C9">
        <w:rPr>
          <w:rFonts w:ascii="Times New Roman" w:hAnsi="Times New Roman"/>
          <w:sz w:val="24"/>
          <w:szCs w:val="24"/>
          <w:lang w:val="pt-BR"/>
        </w:rPr>
        <w:t>O valor do índice T de harmonia obtid</w:t>
      </w:r>
      <w:r w:rsidR="00AD5CDF" w:rsidRPr="00A232C9">
        <w:rPr>
          <w:rFonts w:ascii="Times New Roman" w:hAnsi="Times New Roman"/>
          <w:sz w:val="24"/>
          <w:szCs w:val="24"/>
          <w:lang w:val="pt-BR"/>
        </w:rPr>
        <w:t>o pela primeira abordagem</w:t>
      </w:r>
      <w:r w:rsidR="00E3235A" w:rsidRPr="00A232C9">
        <w:rPr>
          <w:rFonts w:ascii="Times New Roman" w:hAnsi="Times New Roman"/>
          <w:sz w:val="24"/>
          <w:szCs w:val="24"/>
          <w:lang w:val="pt-BR"/>
        </w:rPr>
        <w:t xml:space="preserve"> – na qual as empresas que não divulgaram o método são ignoradas no cálculo – revela que, se duas empresas deste setor forem selecionadas aleatoriamente, há 54% de chance de elas adotarem o mesmo método na mensuração das </w:t>
      </w:r>
      <w:r w:rsidR="002E6B3A">
        <w:rPr>
          <w:rFonts w:ascii="Times New Roman" w:hAnsi="Times New Roman"/>
          <w:sz w:val="24"/>
          <w:szCs w:val="24"/>
          <w:lang w:val="pt-BR"/>
        </w:rPr>
        <w:t>PPI</w:t>
      </w:r>
      <w:r w:rsidR="00E3235A" w:rsidRPr="00A232C9">
        <w:rPr>
          <w:rFonts w:ascii="Times New Roman" w:hAnsi="Times New Roman"/>
          <w:sz w:val="24"/>
          <w:szCs w:val="24"/>
          <w:lang w:val="pt-BR"/>
        </w:rPr>
        <w:t xml:space="preserve">. Desta forma, conceitua-se como um nível médio de comparabilidade. </w:t>
      </w:r>
      <w:r w:rsidR="003761F8" w:rsidRPr="00A232C9">
        <w:rPr>
          <w:rFonts w:ascii="Times New Roman" w:hAnsi="Times New Roman"/>
          <w:sz w:val="24"/>
          <w:szCs w:val="24"/>
          <w:lang w:val="pt-BR"/>
        </w:rPr>
        <w:t>Com relação ao valor do índice T2 (0,78), revelou-se</w:t>
      </w:r>
      <w:r w:rsidR="00080B58" w:rsidRPr="00A232C9">
        <w:rPr>
          <w:rFonts w:ascii="Times New Roman" w:hAnsi="Times New Roman"/>
          <w:sz w:val="24"/>
          <w:szCs w:val="24"/>
          <w:lang w:val="pt-BR"/>
        </w:rPr>
        <w:t xml:space="preserve"> uma alta comparabilidade entre as empresas do setor.</w:t>
      </w:r>
    </w:p>
    <w:p w14:paraId="79B2336C" w14:textId="366ACEE9" w:rsidR="00964EF6" w:rsidRPr="00A232C9" w:rsidRDefault="00964EF6"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O setor Financeiro e Outros, que abrange o maior número de empresas da amostra, apresentou um nível de comparabilidade médio pela ótica das duas primeiras abordagens e um </w:t>
      </w:r>
      <w:r w:rsidRPr="00A232C9">
        <w:rPr>
          <w:rFonts w:ascii="Times New Roman" w:hAnsi="Times New Roman"/>
          <w:sz w:val="24"/>
          <w:szCs w:val="24"/>
          <w:lang w:val="pt-BR"/>
        </w:rPr>
        <w:lastRenderedPageBreak/>
        <w:t>nível de comparabilidade baixo pela úl</w:t>
      </w:r>
      <w:r w:rsidR="00761641">
        <w:rPr>
          <w:rFonts w:ascii="Times New Roman" w:hAnsi="Times New Roman"/>
          <w:sz w:val="24"/>
          <w:szCs w:val="24"/>
          <w:lang w:val="pt-BR"/>
        </w:rPr>
        <w:t xml:space="preserve">tima abordagem. A interpretação </w:t>
      </w:r>
      <w:r w:rsidRPr="00A232C9">
        <w:rPr>
          <w:rFonts w:ascii="Times New Roman" w:hAnsi="Times New Roman"/>
          <w:sz w:val="24"/>
          <w:szCs w:val="24"/>
          <w:lang w:val="pt-BR"/>
        </w:rPr>
        <w:t xml:space="preserve">de T1 permite concluir que existe 51% de chance de duas empresas separadas aleatoriamente mensurarem as PPI pelo mesmo método contábil, seja ele o método de custo ou o método de valor justo. </w:t>
      </w:r>
    </w:p>
    <w:p w14:paraId="446BB384" w14:textId="77777777" w:rsidR="00E3235A" w:rsidRPr="00A232C9" w:rsidRDefault="00964EF6"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As empresas </w:t>
      </w:r>
      <w:r w:rsidR="00AD5CDF" w:rsidRPr="00A232C9">
        <w:rPr>
          <w:rFonts w:ascii="Times New Roman" w:hAnsi="Times New Roman"/>
          <w:sz w:val="24"/>
          <w:szCs w:val="24"/>
          <w:lang w:val="pt-BR"/>
        </w:rPr>
        <w:t>d</w:t>
      </w:r>
      <w:r w:rsidRPr="00A232C9">
        <w:rPr>
          <w:rFonts w:ascii="Times New Roman" w:hAnsi="Times New Roman"/>
          <w:sz w:val="24"/>
          <w:szCs w:val="24"/>
          <w:lang w:val="pt-BR"/>
        </w:rPr>
        <w:t xml:space="preserve">o setor de Bens Industriais apresentam média comparabilidade, segundo as duas primeiras abordagens do índice T, e uma baixa comparabilidade de acordo com a terceira abordagem. </w:t>
      </w:r>
      <w:r w:rsidR="00B75331" w:rsidRPr="00A232C9">
        <w:rPr>
          <w:rFonts w:ascii="Times New Roman" w:hAnsi="Times New Roman"/>
          <w:sz w:val="24"/>
          <w:szCs w:val="24"/>
          <w:lang w:val="pt-BR"/>
        </w:rPr>
        <w:t>O</w:t>
      </w:r>
      <w:r w:rsidRPr="00A232C9">
        <w:rPr>
          <w:rFonts w:ascii="Times New Roman" w:hAnsi="Times New Roman"/>
          <w:sz w:val="24"/>
          <w:szCs w:val="24"/>
          <w:lang w:val="pt-BR"/>
        </w:rPr>
        <w:t xml:space="preserve"> </w:t>
      </w:r>
      <w:r w:rsidR="00AD5CDF" w:rsidRPr="00A232C9">
        <w:rPr>
          <w:rFonts w:ascii="Times New Roman" w:hAnsi="Times New Roman"/>
          <w:sz w:val="24"/>
          <w:szCs w:val="24"/>
          <w:lang w:val="pt-BR"/>
        </w:rPr>
        <w:t xml:space="preserve">setor de </w:t>
      </w:r>
      <w:r w:rsidRPr="00A232C9">
        <w:rPr>
          <w:rFonts w:ascii="Times New Roman" w:hAnsi="Times New Roman"/>
          <w:sz w:val="24"/>
          <w:szCs w:val="24"/>
          <w:lang w:val="pt-BR"/>
        </w:rPr>
        <w:t xml:space="preserve">Consumo Não Cíclico apresentou </w:t>
      </w:r>
      <w:r w:rsidR="008C580A" w:rsidRPr="00A232C9">
        <w:rPr>
          <w:rFonts w:ascii="Times New Roman" w:hAnsi="Times New Roman"/>
          <w:sz w:val="24"/>
          <w:szCs w:val="24"/>
          <w:lang w:val="pt-BR"/>
        </w:rPr>
        <w:t>uma comparabilidade média</w:t>
      </w:r>
      <w:r w:rsidRPr="00A232C9">
        <w:rPr>
          <w:rFonts w:ascii="Times New Roman" w:hAnsi="Times New Roman"/>
          <w:sz w:val="24"/>
          <w:szCs w:val="24"/>
          <w:lang w:val="pt-BR"/>
        </w:rPr>
        <w:t xml:space="preserve"> </w:t>
      </w:r>
      <w:r w:rsidR="00B10138" w:rsidRPr="00A232C9">
        <w:rPr>
          <w:rFonts w:ascii="Times New Roman" w:hAnsi="Times New Roman"/>
          <w:sz w:val="24"/>
          <w:szCs w:val="24"/>
          <w:lang w:val="pt-BR"/>
        </w:rPr>
        <w:t xml:space="preserve">e os </w:t>
      </w:r>
      <w:r w:rsidRPr="00A232C9">
        <w:rPr>
          <w:rFonts w:ascii="Times New Roman" w:hAnsi="Times New Roman"/>
          <w:sz w:val="24"/>
          <w:szCs w:val="24"/>
          <w:lang w:val="pt-BR"/>
        </w:rPr>
        <w:t>mesmos valores para as três diferentes abordagens pois todas empresas divulgaram o método contábil adotado</w:t>
      </w:r>
      <w:r w:rsidR="00B10138"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com a </w:t>
      </w:r>
      <w:r w:rsidR="00B75331" w:rsidRPr="00A232C9">
        <w:rPr>
          <w:rFonts w:ascii="Times New Roman" w:hAnsi="Times New Roman"/>
          <w:sz w:val="24"/>
          <w:szCs w:val="24"/>
          <w:lang w:val="pt-BR"/>
        </w:rPr>
        <w:t>probabilidade</w:t>
      </w:r>
      <w:r w:rsidRPr="00A232C9">
        <w:rPr>
          <w:rFonts w:ascii="Times New Roman" w:hAnsi="Times New Roman"/>
          <w:sz w:val="24"/>
          <w:szCs w:val="24"/>
          <w:lang w:val="pt-BR"/>
        </w:rPr>
        <w:t xml:space="preserve"> de 51% de duas empresas adotarem o mesmo método</w:t>
      </w:r>
      <w:r w:rsidR="00AD5CDF" w:rsidRPr="00A232C9">
        <w:rPr>
          <w:rFonts w:ascii="Times New Roman" w:hAnsi="Times New Roman"/>
          <w:sz w:val="24"/>
          <w:szCs w:val="24"/>
          <w:lang w:val="pt-BR"/>
        </w:rPr>
        <w:t xml:space="preserve"> de mensuração</w:t>
      </w:r>
      <w:r w:rsidRPr="00A232C9">
        <w:rPr>
          <w:rFonts w:ascii="Times New Roman" w:hAnsi="Times New Roman"/>
          <w:sz w:val="24"/>
          <w:szCs w:val="24"/>
          <w:lang w:val="pt-BR"/>
        </w:rPr>
        <w:t>. Por último, o setor de Materiais Básicos apresentou um nível médio de comparabilidade em T1 e T2 e uma baixa comparabilidade em T3.</w:t>
      </w:r>
    </w:p>
    <w:p w14:paraId="72D29D66" w14:textId="55F8A835" w:rsidR="00D0276B" w:rsidRPr="00A232C9" w:rsidRDefault="007B5975"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891FAA" w:rsidRPr="00A232C9">
        <w:rPr>
          <w:rFonts w:ascii="Times New Roman" w:hAnsi="Times New Roman"/>
          <w:sz w:val="24"/>
          <w:szCs w:val="24"/>
          <w:lang w:val="pt-BR"/>
        </w:rPr>
        <w:t xml:space="preserve">Apesar de Van der Tas (1988) não evidenciar em seus estudos a presença de diferentes abordagens para o cálculo do índice H quando na amostra encontram-se empresas que não divulgaram o método contábil para mensuração, a presente pesquisa definiu duas abordagens para o índice com o </w:t>
      </w:r>
      <w:r w:rsidR="00175D7F" w:rsidRPr="00A232C9">
        <w:rPr>
          <w:rFonts w:ascii="Times New Roman" w:hAnsi="Times New Roman"/>
          <w:sz w:val="24"/>
          <w:szCs w:val="24"/>
          <w:lang w:val="pt-BR"/>
        </w:rPr>
        <w:t>propósito</w:t>
      </w:r>
      <w:r w:rsidR="00891FAA" w:rsidRPr="00A232C9">
        <w:rPr>
          <w:rFonts w:ascii="Times New Roman" w:hAnsi="Times New Roman"/>
          <w:sz w:val="24"/>
          <w:szCs w:val="24"/>
          <w:lang w:val="pt-BR"/>
        </w:rPr>
        <w:t xml:space="preserve"> de comparar os resultados entre este e </w:t>
      </w:r>
      <w:r w:rsidR="004122B9">
        <w:rPr>
          <w:rFonts w:ascii="Times New Roman" w:hAnsi="Times New Roman"/>
          <w:sz w:val="24"/>
          <w:szCs w:val="24"/>
          <w:lang w:val="pt-BR"/>
        </w:rPr>
        <w:t>o apresentado</w:t>
      </w:r>
      <w:r w:rsidR="00891FAA" w:rsidRPr="00A232C9">
        <w:rPr>
          <w:rFonts w:ascii="Times New Roman" w:hAnsi="Times New Roman"/>
          <w:sz w:val="24"/>
          <w:szCs w:val="24"/>
          <w:lang w:val="pt-BR"/>
        </w:rPr>
        <w:t xml:space="preserve"> por Taplin. A primeira abordagem (H1), assim como T1, exclui as empresas que não divulgaram o método contábil para o </w:t>
      </w:r>
      <w:r w:rsidR="00936216" w:rsidRPr="00A232C9">
        <w:rPr>
          <w:rFonts w:ascii="Times New Roman" w:hAnsi="Times New Roman"/>
          <w:sz w:val="24"/>
          <w:szCs w:val="24"/>
          <w:lang w:val="pt-BR"/>
        </w:rPr>
        <w:t>cômputo</w:t>
      </w:r>
      <w:r w:rsidR="00891FAA" w:rsidRPr="00A232C9">
        <w:rPr>
          <w:rFonts w:ascii="Times New Roman" w:hAnsi="Times New Roman"/>
          <w:sz w:val="24"/>
          <w:szCs w:val="24"/>
          <w:lang w:val="pt-BR"/>
        </w:rPr>
        <w:t xml:space="preserve"> do </w:t>
      </w:r>
      <w:r w:rsidR="006E6E48" w:rsidRPr="00A232C9">
        <w:rPr>
          <w:rFonts w:ascii="Times New Roman" w:hAnsi="Times New Roman"/>
          <w:sz w:val="24"/>
          <w:szCs w:val="24"/>
          <w:lang w:val="pt-BR"/>
        </w:rPr>
        <w:t>índice e a segunda abordagem (H2) inclui todas as empresas da amostra, adotando a não divulgação como um dos métodos contábeis existentes.</w:t>
      </w:r>
    </w:p>
    <w:p w14:paraId="14ED5914" w14:textId="7AD5A732" w:rsidR="00D0276B" w:rsidRDefault="00AA2A72" w:rsidP="008E7DAE">
      <w:pPr>
        <w:spacing w:after="0" w:line="240" w:lineRule="auto"/>
        <w:jc w:val="both"/>
        <w:rPr>
          <w:rFonts w:ascii="Times New Roman" w:hAnsi="Times New Roman"/>
          <w:sz w:val="24"/>
          <w:szCs w:val="24"/>
          <w:lang w:val="pt-BR"/>
        </w:rPr>
      </w:pPr>
      <w:r>
        <w:rPr>
          <w:rFonts w:ascii="Times New Roman" w:hAnsi="Times New Roman"/>
          <w:sz w:val="24"/>
          <w:szCs w:val="24"/>
          <w:lang w:val="pt-BR"/>
        </w:rPr>
        <w:tab/>
        <w:t>A Tabela 7</w:t>
      </w:r>
      <w:r w:rsidR="00175D7F" w:rsidRPr="00A232C9">
        <w:rPr>
          <w:rFonts w:ascii="Times New Roman" w:hAnsi="Times New Roman"/>
          <w:sz w:val="24"/>
          <w:szCs w:val="24"/>
          <w:lang w:val="pt-BR"/>
        </w:rPr>
        <w:t xml:space="preserve"> expõe as frequências relativas para os métodos de custo e valor justo na mensuração das </w:t>
      </w:r>
      <w:r w:rsidR="002E6B3A">
        <w:rPr>
          <w:rFonts w:ascii="Times New Roman" w:hAnsi="Times New Roman"/>
          <w:sz w:val="24"/>
          <w:szCs w:val="24"/>
          <w:lang w:val="pt-BR"/>
        </w:rPr>
        <w:t>PPI</w:t>
      </w:r>
      <w:r w:rsidR="00175D7F" w:rsidRPr="00A232C9">
        <w:rPr>
          <w:rFonts w:ascii="Times New Roman" w:hAnsi="Times New Roman"/>
          <w:sz w:val="24"/>
          <w:szCs w:val="24"/>
          <w:lang w:val="pt-BR"/>
        </w:rPr>
        <w:t>, excluindo as empresas que não divulgaram o método para a definição dos valores do índice H1 por setor. Além disso, revela a interpretação dos valores do índice de acordo com a escala definida nos procedimentos metodológicos.</w:t>
      </w:r>
    </w:p>
    <w:p w14:paraId="46366161" w14:textId="77777777" w:rsidR="004F54B0" w:rsidRPr="00A065E0" w:rsidRDefault="004F54B0" w:rsidP="008E7DAE">
      <w:pPr>
        <w:spacing w:after="0" w:line="240" w:lineRule="auto"/>
        <w:jc w:val="both"/>
        <w:rPr>
          <w:rFonts w:ascii="Times New Roman" w:hAnsi="Times New Roman"/>
          <w:sz w:val="20"/>
          <w:szCs w:val="20"/>
          <w:lang w:val="pt-BR"/>
        </w:rPr>
      </w:pPr>
    </w:p>
    <w:p w14:paraId="2EC68C14" w14:textId="29664F66" w:rsidR="00AA2A72" w:rsidRPr="000D55C2" w:rsidRDefault="00AA2A72" w:rsidP="00AA2A72">
      <w:pPr>
        <w:pStyle w:val="Legenda"/>
        <w:keepNext/>
        <w:spacing w:after="0"/>
        <w:jc w:val="center"/>
        <w:rPr>
          <w:rFonts w:ascii="Times New Roman" w:hAnsi="Times New Roman"/>
          <w:b w:val="0"/>
          <w:color w:val="auto"/>
          <w:sz w:val="20"/>
          <w:szCs w:val="20"/>
          <w:lang w:val="pt-BR"/>
        </w:rPr>
      </w:pPr>
      <w:r w:rsidRPr="000D55C2">
        <w:rPr>
          <w:rFonts w:ascii="Times New Roman" w:hAnsi="Times New Roman"/>
          <w:b w:val="0"/>
          <w:color w:val="auto"/>
          <w:sz w:val="20"/>
          <w:szCs w:val="20"/>
          <w:lang w:val="pt-BR"/>
        </w:rPr>
        <w:t xml:space="preserve">Tabela </w:t>
      </w:r>
      <w:r w:rsidRPr="00AA2A72">
        <w:rPr>
          <w:rFonts w:ascii="Times New Roman" w:hAnsi="Times New Roman"/>
          <w:b w:val="0"/>
          <w:color w:val="auto"/>
          <w:sz w:val="20"/>
          <w:szCs w:val="20"/>
        </w:rPr>
        <w:fldChar w:fldCharType="begin"/>
      </w:r>
      <w:r w:rsidRPr="000D55C2">
        <w:rPr>
          <w:rFonts w:ascii="Times New Roman" w:hAnsi="Times New Roman"/>
          <w:b w:val="0"/>
          <w:color w:val="auto"/>
          <w:sz w:val="20"/>
          <w:szCs w:val="20"/>
          <w:lang w:val="pt-BR"/>
        </w:rPr>
        <w:instrText xml:space="preserve"> SEQ Tabela \* ARABIC </w:instrText>
      </w:r>
      <w:r w:rsidRPr="00AA2A72">
        <w:rPr>
          <w:rFonts w:ascii="Times New Roman" w:hAnsi="Times New Roman"/>
          <w:b w:val="0"/>
          <w:color w:val="auto"/>
          <w:sz w:val="20"/>
          <w:szCs w:val="20"/>
        </w:rPr>
        <w:fldChar w:fldCharType="separate"/>
      </w:r>
      <w:r w:rsidRPr="000D55C2">
        <w:rPr>
          <w:rFonts w:ascii="Times New Roman" w:hAnsi="Times New Roman"/>
          <w:b w:val="0"/>
          <w:color w:val="auto"/>
          <w:sz w:val="20"/>
          <w:szCs w:val="20"/>
          <w:lang w:val="pt-BR"/>
        </w:rPr>
        <w:t>7</w:t>
      </w:r>
      <w:r w:rsidRPr="00AA2A72">
        <w:rPr>
          <w:rFonts w:ascii="Times New Roman" w:hAnsi="Times New Roman"/>
          <w:b w:val="0"/>
          <w:color w:val="auto"/>
          <w:sz w:val="20"/>
          <w:szCs w:val="20"/>
        </w:rPr>
        <w:fldChar w:fldCharType="end"/>
      </w:r>
      <w:r w:rsidRPr="000D55C2">
        <w:rPr>
          <w:rFonts w:ascii="Times New Roman" w:hAnsi="Times New Roman"/>
          <w:b w:val="0"/>
          <w:color w:val="auto"/>
          <w:sz w:val="20"/>
          <w:szCs w:val="20"/>
          <w:lang w:val="pt-BR"/>
        </w:rPr>
        <w:t xml:space="preserve"> - Índice H1 e Nível de Comparabilidade dos Setores</w:t>
      </w:r>
    </w:p>
    <w:tbl>
      <w:tblPr>
        <w:tblW w:w="9236"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2"/>
        <w:gridCol w:w="1845"/>
        <w:gridCol w:w="1915"/>
        <w:gridCol w:w="1310"/>
        <w:gridCol w:w="1134"/>
      </w:tblGrid>
      <w:tr w:rsidR="00D31004" w:rsidRPr="00A4097B" w14:paraId="32C7F1DF" w14:textId="77777777" w:rsidTr="002B48EA">
        <w:trPr>
          <w:trHeight w:val="227"/>
          <w:jc w:val="center"/>
        </w:trPr>
        <w:tc>
          <w:tcPr>
            <w:tcW w:w="3032" w:type="dxa"/>
            <w:shd w:val="clear" w:color="auto" w:fill="DDD9C3"/>
            <w:vAlign w:val="center"/>
            <w:hideMark/>
          </w:tcPr>
          <w:p w14:paraId="5630407C"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Setor</w:t>
            </w:r>
          </w:p>
        </w:tc>
        <w:tc>
          <w:tcPr>
            <w:tcW w:w="1845" w:type="dxa"/>
            <w:shd w:val="clear" w:color="auto" w:fill="DDD9C3"/>
            <w:vAlign w:val="center"/>
            <w:hideMark/>
          </w:tcPr>
          <w:p w14:paraId="1426BD46"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Frequência Relativa Custo</w:t>
            </w:r>
          </w:p>
        </w:tc>
        <w:tc>
          <w:tcPr>
            <w:tcW w:w="1915" w:type="dxa"/>
            <w:shd w:val="clear" w:color="auto" w:fill="DDD9C3"/>
            <w:vAlign w:val="center"/>
            <w:hideMark/>
          </w:tcPr>
          <w:p w14:paraId="2D37F34F"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Frequência Relativa Valor Justo</w:t>
            </w:r>
          </w:p>
        </w:tc>
        <w:tc>
          <w:tcPr>
            <w:tcW w:w="1310" w:type="dxa"/>
            <w:shd w:val="clear" w:color="auto" w:fill="DDD9C3"/>
            <w:vAlign w:val="center"/>
            <w:hideMark/>
          </w:tcPr>
          <w:p w14:paraId="567DDF1C"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Índice H</w:t>
            </w:r>
            <w:r w:rsidR="00175D7F" w:rsidRPr="00A4097B">
              <w:rPr>
                <w:rFonts w:ascii="Times New Roman" w:eastAsia="Times New Roman" w:hAnsi="Times New Roman"/>
                <w:b/>
                <w:bCs/>
                <w:noProof w:val="0"/>
                <w:color w:val="000000"/>
                <w:sz w:val="20"/>
                <w:szCs w:val="20"/>
                <w:lang w:val="pt-BR" w:eastAsia="pt-BR"/>
              </w:rPr>
              <w:t>1</w:t>
            </w:r>
            <w:r w:rsidRPr="00A4097B">
              <w:rPr>
                <w:rFonts w:ascii="Times New Roman" w:eastAsia="Times New Roman" w:hAnsi="Times New Roman"/>
                <w:b/>
                <w:bCs/>
                <w:noProof w:val="0"/>
                <w:color w:val="000000"/>
                <w:sz w:val="20"/>
                <w:szCs w:val="20"/>
                <w:lang w:val="pt-BR" w:eastAsia="pt-BR"/>
              </w:rPr>
              <w:t xml:space="preserve"> por Setor</w:t>
            </w:r>
          </w:p>
        </w:tc>
        <w:tc>
          <w:tcPr>
            <w:tcW w:w="1134" w:type="dxa"/>
            <w:shd w:val="clear" w:color="auto" w:fill="DDD9C3"/>
            <w:vAlign w:val="center"/>
          </w:tcPr>
          <w:p w14:paraId="35E524F7"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sz w:val="20"/>
                <w:szCs w:val="20"/>
                <w:lang w:val="pt-BR" w:eastAsia="pt-BR"/>
              </w:rPr>
              <w:t>Nível</w:t>
            </w:r>
          </w:p>
        </w:tc>
      </w:tr>
      <w:tr w:rsidR="00D31004" w:rsidRPr="00A4097B" w14:paraId="5ACD401F" w14:textId="77777777" w:rsidTr="002B48EA">
        <w:trPr>
          <w:trHeight w:val="227"/>
          <w:jc w:val="center"/>
        </w:trPr>
        <w:tc>
          <w:tcPr>
            <w:tcW w:w="3032" w:type="dxa"/>
            <w:shd w:val="clear" w:color="auto" w:fill="auto"/>
            <w:noWrap/>
            <w:vAlign w:val="center"/>
          </w:tcPr>
          <w:p w14:paraId="3B96BF3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 xml:space="preserve">Petróleo, Gás e </w:t>
            </w:r>
            <w:proofErr w:type="gramStart"/>
            <w:r w:rsidRPr="00A4097B">
              <w:rPr>
                <w:rFonts w:ascii="Times New Roman" w:eastAsia="Times New Roman" w:hAnsi="Times New Roman"/>
                <w:noProof w:val="0"/>
                <w:color w:val="000000"/>
                <w:sz w:val="20"/>
                <w:szCs w:val="20"/>
                <w:lang w:val="pt-BR" w:eastAsia="pt-BR"/>
              </w:rPr>
              <w:t>Biocombustíveis</w:t>
            </w:r>
            <w:proofErr w:type="gramEnd"/>
          </w:p>
        </w:tc>
        <w:tc>
          <w:tcPr>
            <w:tcW w:w="1845" w:type="dxa"/>
            <w:shd w:val="clear" w:color="auto" w:fill="auto"/>
            <w:noWrap/>
            <w:vAlign w:val="bottom"/>
          </w:tcPr>
          <w:p w14:paraId="2131AA1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915" w:type="dxa"/>
            <w:shd w:val="clear" w:color="auto" w:fill="auto"/>
            <w:noWrap/>
            <w:vAlign w:val="bottom"/>
          </w:tcPr>
          <w:p w14:paraId="09564444"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310" w:type="dxa"/>
            <w:shd w:val="clear" w:color="auto" w:fill="FFFFFF"/>
            <w:noWrap/>
            <w:vAlign w:val="bottom"/>
          </w:tcPr>
          <w:p w14:paraId="4D85A25E"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1134" w:type="dxa"/>
            <w:shd w:val="clear" w:color="auto" w:fill="auto"/>
          </w:tcPr>
          <w:p w14:paraId="1AB2DCCC"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1B4D9F" w:rsidRPr="00A4097B" w14:paraId="52CE5DDC" w14:textId="77777777" w:rsidTr="002B48EA">
        <w:trPr>
          <w:trHeight w:val="227"/>
          <w:jc w:val="center"/>
        </w:trPr>
        <w:tc>
          <w:tcPr>
            <w:tcW w:w="3032" w:type="dxa"/>
            <w:shd w:val="clear" w:color="auto" w:fill="auto"/>
            <w:noWrap/>
            <w:vAlign w:val="center"/>
          </w:tcPr>
          <w:p w14:paraId="0F21C014"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Tecnologia da Informação</w:t>
            </w:r>
          </w:p>
        </w:tc>
        <w:tc>
          <w:tcPr>
            <w:tcW w:w="1845" w:type="dxa"/>
            <w:shd w:val="clear" w:color="auto" w:fill="auto"/>
            <w:noWrap/>
            <w:vAlign w:val="bottom"/>
          </w:tcPr>
          <w:p w14:paraId="1CD27870"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915" w:type="dxa"/>
            <w:shd w:val="clear" w:color="auto" w:fill="auto"/>
            <w:noWrap/>
            <w:vAlign w:val="bottom"/>
          </w:tcPr>
          <w:p w14:paraId="51632ADE"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310" w:type="dxa"/>
            <w:shd w:val="clear" w:color="auto" w:fill="FFFFFF"/>
            <w:noWrap/>
            <w:vAlign w:val="bottom"/>
          </w:tcPr>
          <w:p w14:paraId="647059BE"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1134" w:type="dxa"/>
            <w:shd w:val="clear" w:color="auto" w:fill="auto"/>
          </w:tcPr>
          <w:p w14:paraId="452FB8B9"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1B4D9F" w:rsidRPr="00A4097B" w14:paraId="07ED213D" w14:textId="77777777" w:rsidTr="002B48EA">
        <w:trPr>
          <w:trHeight w:val="227"/>
          <w:jc w:val="center"/>
        </w:trPr>
        <w:tc>
          <w:tcPr>
            <w:tcW w:w="3032" w:type="dxa"/>
            <w:shd w:val="clear" w:color="auto" w:fill="auto"/>
            <w:noWrap/>
            <w:vAlign w:val="center"/>
          </w:tcPr>
          <w:p w14:paraId="51F393CB"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Telecomunicações</w:t>
            </w:r>
          </w:p>
        </w:tc>
        <w:tc>
          <w:tcPr>
            <w:tcW w:w="1845" w:type="dxa"/>
            <w:shd w:val="clear" w:color="auto" w:fill="auto"/>
            <w:noWrap/>
            <w:vAlign w:val="bottom"/>
          </w:tcPr>
          <w:p w14:paraId="0879A88B"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915" w:type="dxa"/>
            <w:shd w:val="clear" w:color="auto" w:fill="auto"/>
            <w:noWrap/>
            <w:vAlign w:val="bottom"/>
          </w:tcPr>
          <w:p w14:paraId="3E438F26"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310" w:type="dxa"/>
            <w:shd w:val="clear" w:color="auto" w:fill="FFFFFF"/>
            <w:noWrap/>
            <w:vAlign w:val="bottom"/>
          </w:tcPr>
          <w:p w14:paraId="40D7768D"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1134" w:type="dxa"/>
            <w:shd w:val="clear" w:color="auto" w:fill="auto"/>
          </w:tcPr>
          <w:p w14:paraId="24EBDF95"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1B4D9F" w:rsidRPr="00A4097B" w14:paraId="4398B007" w14:textId="77777777" w:rsidTr="002B48EA">
        <w:trPr>
          <w:trHeight w:val="227"/>
          <w:jc w:val="center"/>
        </w:trPr>
        <w:tc>
          <w:tcPr>
            <w:tcW w:w="3032" w:type="dxa"/>
            <w:shd w:val="clear" w:color="auto" w:fill="auto"/>
            <w:noWrap/>
            <w:vAlign w:val="center"/>
          </w:tcPr>
          <w:p w14:paraId="2F20C6ED"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Saúde</w:t>
            </w:r>
          </w:p>
        </w:tc>
        <w:tc>
          <w:tcPr>
            <w:tcW w:w="1845" w:type="dxa"/>
            <w:shd w:val="clear" w:color="auto" w:fill="auto"/>
            <w:noWrap/>
            <w:vAlign w:val="bottom"/>
          </w:tcPr>
          <w:p w14:paraId="177C3A8E"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915" w:type="dxa"/>
            <w:shd w:val="clear" w:color="auto" w:fill="auto"/>
            <w:noWrap/>
            <w:vAlign w:val="bottom"/>
          </w:tcPr>
          <w:p w14:paraId="13DF25DE"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310" w:type="dxa"/>
            <w:shd w:val="clear" w:color="auto" w:fill="FFFFFF"/>
            <w:noWrap/>
            <w:vAlign w:val="bottom"/>
          </w:tcPr>
          <w:p w14:paraId="72BC65AD"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1134" w:type="dxa"/>
            <w:shd w:val="clear" w:color="auto" w:fill="auto"/>
          </w:tcPr>
          <w:p w14:paraId="4095883F"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1B4D9F" w:rsidRPr="00A4097B" w14:paraId="1AAA9700" w14:textId="77777777" w:rsidTr="002B48EA">
        <w:trPr>
          <w:trHeight w:val="227"/>
          <w:jc w:val="center"/>
        </w:trPr>
        <w:tc>
          <w:tcPr>
            <w:tcW w:w="3032" w:type="dxa"/>
            <w:shd w:val="clear" w:color="auto" w:fill="auto"/>
            <w:noWrap/>
            <w:vAlign w:val="center"/>
          </w:tcPr>
          <w:p w14:paraId="53A5DFE6"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Utilidade Pública</w:t>
            </w:r>
          </w:p>
        </w:tc>
        <w:tc>
          <w:tcPr>
            <w:tcW w:w="1845" w:type="dxa"/>
            <w:shd w:val="clear" w:color="auto" w:fill="auto"/>
            <w:noWrap/>
            <w:vAlign w:val="bottom"/>
          </w:tcPr>
          <w:p w14:paraId="1D8B4EDA"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915" w:type="dxa"/>
            <w:shd w:val="clear" w:color="auto" w:fill="auto"/>
            <w:noWrap/>
            <w:vAlign w:val="bottom"/>
          </w:tcPr>
          <w:p w14:paraId="045CC1F0"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310" w:type="dxa"/>
            <w:shd w:val="clear" w:color="auto" w:fill="FFFFFF"/>
            <w:noWrap/>
            <w:vAlign w:val="bottom"/>
          </w:tcPr>
          <w:p w14:paraId="7588C543"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1134" w:type="dxa"/>
            <w:shd w:val="clear" w:color="auto" w:fill="auto"/>
          </w:tcPr>
          <w:p w14:paraId="1B049A92"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1B4D9F" w:rsidRPr="00A4097B" w14:paraId="2C316CFD" w14:textId="77777777" w:rsidTr="002B48EA">
        <w:trPr>
          <w:trHeight w:val="227"/>
          <w:jc w:val="center"/>
        </w:trPr>
        <w:tc>
          <w:tcPr>
            <w:tcW w:w="3032" w:type="dxa"/>
            <w:shd w:val="clear" w:color="auto" w:fill="auto"/>
            <w:noWrap/>
            <w:vAlign w:val="center"/>
          </w:tcPr>
          <w:p w14:paraId="1D6FAB2D"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Consumo Cíclico</w:t>
            </w:r>
          </w:p>
        </w:tc>
        <w:tc>
          <w:tcPr>
            <w:tcW w:w="1845" w:type="dxa"/>
            <w:shd w:val="clear" w:color="auto" w:fill="auto"/>
            <w:noWrap/>
            <w:vAlign w:val="bottom"/>
          </w:tcPr>
          <w:p w14:paraId="60069E75"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0,36</w:t>
            </w:r>
          </w:p>
        </w:tc>
        <w:tc>
          <w:tcPr>
            <w:tcW w:w="1915" w:type="dxa"/>
            <w:shd w:val="clear" w:color="auto" w:fill="auto"/>
            <w:noWrap/>
            <w:vAlign w:val="bottom"/>
          </w:tcPr>
          <w:p w14:paraId="78F9E8C9"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0,64</w:t>
            </w:r>
          </w:p>
        </w:tc>
        <w:tc>
          <w:tcPr>
            <w:tcW w:w="1310" w:type="dxa"/>
            <w:shd w:val="clear" w:color="auto" w:fill="FFFFFF"/>
            <w:noWrap/>
            <w:vAlign w:val="bottom"/>
          </w:tcPr>
          <w:p w14:paraId="266451A5"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0,54</w:t>
            </w:r>
          </w:p>
        </w:tc>
        <w:tc>
          <w:tcPr>
            <w:tcW w:w="1134" w:type="dxa"/>
            <w:shd w:val="clear" w:color="auto" w:fill="auto"/>
          </w:tcPr>
          <w:p w14:paraId="719CECB2"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1B4D9F" w:rsidRPr="00A4097B" w14:paraId="0E0B14A4" w14:textId="77777777" w:rsidTr="002B48EA">
        <w:trPr>
          <w:trHeight w:val="227"/>
          <w:jc w:val="center"/>
        </w:trPr>
        <w:tc>
          <w:tcPr>
            <w:tcW w:w="3032" w:type="dxa"/>
            <w:shd w:val="clear" w:color="auto" w:fill="auto"/>
            <w:noWrap/>
            <w:vAlign w:val="center"/>
            <w:hideMark/>
          </w:tcPr>
          <w:p w14:paraId="7F2EF75B"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Bens Industriais</w:t>
            </w:r>
          </w:p>
        </w:tc>
        <w:tc>
          <w:tcPr>
            <w:tcW w:w="1845" w:type="dxa"/>
            <w:shd w:val="clear" w:color="auto" w:fill="auto"/>
            <w:noWrap/>
            <w:vAlign w:val="bottom"/>
            <w:hideMark/>
          </w:tcPr>
          <w:p w14:paraId="47D448E8"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0,40</w:t>
            </w:r>
          </w:p>
        </w:tc>
        <w:tc>
          <w:tcPr>
            <w:tcW w:w="1915" w:type="dxa"/>
            <w:shd w:val="clear" w:color="auto" w:fill="auto"/>
            <w:noWrap/>
            <w:vAlign w:val="bottom"/>
            <w:hideMark/>
          </w:tcPr>
          <w:p w14:paraId="35FDC705"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0,60</w:t>
            </w:r>
          </w:p>
        </w:tc>
        <w:tc>
          <w:tcPr>
            <w:tcW w:w="1310" w:type="dxa"/>
            <w:shd w:val="clear" w:color="auto" w:fill="FFFFFF"/>
            <w:noWrap/>
            <w:vAlign w:val="bottom"/>
            <w:hideMark/>
          </w:tcPr>
          <w:p w14:paraId="63C8E361"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0,52</w:t>
            </w:r>
          </w:p>
        </w:tc>
        <w:tc>
          <w:tcPr>
            <w:tcW w:w="1134" w:type="dxa"/>
            <w:shd w:val="clear" w:color="auto" w:fill="auto"/>
          </w:tcPr>
          <w:p w14:paraId="2CC7F4E7"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1B4D9F" w:rsidRPr="00A4097B" w14:paraId="688D0F84" w14:textId="77777777" w:rsidTr="002B48EA">
        <w:trPr>
          <w:trHeight w:val="227"/>
          <w:jc w:val="center"/>
        </w:trPr>
        <w:tc>
          <w:tcPr>
            <w:tcW w:w="3032" w:type="dxa"/>
            <w:shd w:val="clear" w:color="auto" w:fill="auto"/>
            <w:noWrap/>
            <w:vAlign w:val="center"/>
            <w:hideMark/>
          </w:tcPr>
          <w:p w14:paraId="5A239F6F"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Consumo Não Cíclico</w:t>
            </w:r>
          </w:p>
        </w:tc>
        <w:tc>
          <w:tcPr>
            <w:tcW w:w="1845" w:type="dxa"/>
            <w:shd w:val="clear" w:color="auto" w:fill="auto"/>
            <w:noWrap/>
            <w:vAlign w:val="bottom"/>
            <w:hideMark/>
          </w:tcPr>
          <w:p w14:paraId="23A84695"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0,43</w:t>
            </w:r>
          </w:p>
        </w:tc>
        <w:tc>
          <w:tcPr>
            <w:tcW w:w="1915" w:type="dxa"/>
            <w:shd w:val="clear" w:color="auto" w:fill="auto"/>
            <w:noWrap/>
            <w:vAlign w:val="bottom"/>
            <w:hideMark/>
          </w:tcPr>
          <w:p w14:paraId="09A89321"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0,57</w:t>
            </w:r>
          </w:p>
        </w:tc>
        <w:tc>
          <w:tcPr>
            <w:tcW w:w="1310" w:type="dxa"/>
            <w:shd w:val="clear" w:color="auto" w:fill="FFFFFF"/>
            <w:noWrap/>
            <w:vAlign w:val="bottom"/>
            <w:hideMark/>
          </w:tcPr>
          <w:p w14:paraId="23211A07"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0,51</w:t>
            </w:r>
          </w:p>
        </w:tc>
        <w:tc>
          <w:tcPr>
            <w:tcW w:w="1134" w:type="dxa"/>
            <w:shd w:val="clear" w:color="auto" w:fill="auto"/>
          </w:tcPr>
          <w:p w14:paraId="47F04B7F"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1B4D9F" w:rsidRPr="00A4097B" w14:paraId="60657CAB" w14:textId="77777777" w:rsidTr="002B48EA">
        <w:trPr>
          <w:trHeight w:val="227"/>
          <w:jc w:val="center"/>
        </w:trPr>
        <w:tc>
          <w:tcPr>
            <w:tcW w:w="3032" w:type="dxa"/>
            <w:shd w:val="clear" w:color="auto" w:fill="auto"/>
            <w:noWrap/>
            <w:vAlign w:val="center"/>
            <w:hideMark/>
          </w:tcPr>
          <w:p w14:paraId="069926A1"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Financeiro e Outros</w:t>
            </w:r>
          </w:p>
        </w:tc>
        <w:tc>
          <w:tcPr>
            <w:tcW w:w="1845" w:type="dxa"/>
            <w:shd w:val="clear" w:color="auto" w:fill="auto"/>
            <w:noWrap/>
            <w:vAlign w:val="bottom"/>
            <w:hideMark/>
          </w:tcPr>
          <w:p w14:paraId="3C6BA2A4"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0,58</w:t>
            </w:r>
          </w:p>
        </w:tc>
        <w:tc>
          <w:tcPr>
            <w:tcW w:w="1915" w:type="dxa"/>
            <w:shd w:val="clear" w:color="auto" w:fill="auto"/>
            <w:noWrap/>
            <w:vAlign w:val="bottom"/>
            <w:hideMark/>
          </w:tcPr>
          <w:p w14:paraId="084B313E"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0,42</w:t>
            </w:r>
          </w:p>
        </w:tc>
        <w:tc>
          <w:tcPr>
            <w:tcW w:w="1310" w:type="dxa"/>
            <w:shd w:val="clear" w:color="auto" w:fill="FFFFFF"/>
            <w:noWrap/>
            <w:vAlign w:val="bottom"/>
            <w:hideMark/>
          </w:tcPr>
          <w:p w14:paraId="47ACCBD3"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0,51</w:t>
            </w:r>
          </w:p>
        </w:tc>
        <w:tc>
          <w:tcPr>
            <w:tcW w:w="1134" w:type="dxa"/>
            <w:shd w:val="clear" w:color="auto" w:fill="auto"/>
          </w:tcPr>
          <w:p w14:paraId="4B142F40"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1B4D9F" w:rsidRPr="00A4097B" w14:paraId="6BFC4F33" w14:textId="77777777" w:rsidTr="002B48EA">
        <w:trPr>
          <w:trHeight w:val="227"/>
          <w:jc w:val="center"/>
        </w:trPr>
        <w:tc>
          <w:tcPr>
            <w:tcW w:w="3032" w:type="dxa"/>
            <w:shd w:val="clear" w:color="auto" w:fill="auto"/>
            <w:noWrap/>
            <w:vAlign w:val="center"/>
            <w:hideMark/>
          </w:tcPr>
          <w:p w14:paraId="306CA4D5"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Materiais Básicos</w:t>
            </w:r>
          </w:p>
        </w:tc>
        <w:tc>
          <w:tcPr>
            <w:tcW w:w="1845" w:type="dxa"/>
            <w:shd w:val="clear" w:color="auto" w:fill="auto"/>
            <w:noWrap/>
            <w:vAlign w:val="bottom"/>
            <w:hideMark/>
          </w:tcPr>
          <w:p w14:paraId="52FC4AC2"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0,50</w:t>
            </w:r>
          </w:p>
        </w:tc>
        <w:tc>
          <w:tcPr>
            <w:tcW w:w="1915" w:type="dxa"/>
            <w:shd w:val="clear" w:color="auto" w:fill="auto"/>
            <w:noWrap/>
            <w:vAlign w:val="bottom"/>
            <w:hideMark/>
          </w:tcPr>
          <w:p w14:paraId="33CCC3FA" w14:textId="77777777" w:rsidR="001B4D9F" w:rsidRPr="00A4097B" w:rsidRDefault="001B4D9F"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0,50</w:t>
            </w:r>
          </w:p>
        </w:tc>
        <w:tc>
          <w:tcPr>
            <w:tcW w:w="1310" w:type="dxa"/>
            <w:shd w:val="clear" w:color="auto" w:fill="FFFFFF"/>
            <w:noWrap/>
            <w:vAlign w:val="bottom"/>
            <w:hideMark/>
          </w:tcPr>
          <w:p w14:paraId="51871CF2"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0,50</w:t>
            </w:r>
          </w:p>
        </w:tc>
        <w:tc>
          <w:tcPr>
            <w:tcW w:w="1134" w:type="dxa"/>
            <w:shd w:val="clear" w:color="auto" w:fill="auto"/>
          </w:tcPr>
          <w:p w14:paraId="476E428F" w14:textId="77777777" w:rsidR="001B4D9F" w:rsidRPr="00A4097B" w:rsidRDefault="001B4D9F"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bl>
    <w:p w14:paraId="49773CE8" w14:textId="77777777" w:rsidR="00D31004" w:rsidRDefault="002B48EA" w:rsidP="008E7DAE">
      <w:pPr>
        <w:spacing w:after="0" w:line="240" w:lineRule="auto"/>
        <w:jc w:val="both"/>
        <w:rPr>
          <w:rFonts w:ascii="Times New Roman" w:hAnsi="Times New Roman"/>
          <w:sz w:val="20"/>
          <w:szCs w:val="20"/>
        </w:rPr>
      </w:pPr>
      <w:r w:rsidRPr="00A4097B">
        <w:rPr>
          <w:rFonts w:ascii="Times New Roman" w:hAnsi="Times New Roman"/>
          <w:sz w:val="20"/>
          <w:szCs w:val="20"/>
        </w:rPr>
        <w:t>Fonte: Elaborado pelos autores.</w:t>
      </w:r>
    </w:p>
    <w:p w14:paraId="2F42A9D2" w14:textId="77777777" w:rsidR="004F54B0" w:rsidRPr="00A065E0" w:rsidRDefault="004F54B0" w:rsidP="008E7DAE">
      <w:pPr>
        <w:spacing w:after="0" w:line="240" w:lineRule="auto"/>
        <w:jc w:val="both"/>
        <w:rPr>
          <w:rFonts w:ascii="Times New Roman" w:hAnsi="Times New Roman"/>
          <w:sz w:val="20"/>
          <w:szCs w:val="20"/>
        </w:rPr>
      </w:pPr>
    </w:p>
    <w:p w14:paraId="7E6860FA" w14:textId="5923140E" w:rsidR="00CA1F97" w:rsidRPr="00A232C9" w:rsidRDefault="001B4D9F"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Como o índice Herfindahl representa uma medida de concentração, um maior nível de comparabilidade ocorrerá quando as empresas concentrarem-se em apenas um ou em um número limitado de métodos contábeis (V</w:t>
      </w:r>
      <w:r w:rsidR="002153CA">
        <w:rPr>
          <w:rFonts w:ascii="Times New Roman" w:hAnsi="Times New Roman"/>
          <w:sz w:val="24"/>
          <w:szCs w:val="24"/>
          <w:lang w:val="pt-BR"/>
        </w:rPr>
        <w:t>AN DER TAS</w:t>
      </w:r>
      <w:r w:rsidRPr="00A232C9">
        <w:rPr>
          <w:rFonts w:ascii="Times New Roman" w:hAnsi="Times New Roman"/>
          <w:sz w:val="24"/>
          <w:szCs w:val="24"/>
          <w:lang w:val="pt-BR"/>
        </w:rPr>
        <w:t xml:space="preserve">, 1988). Desta forma, como as empresas pertencentes aos setores de Petróleo, Gás e Biocombustíveis, Tecnologia da Informação, Telecomunicações, Saúde e Utilidade Pública concentraram-se em apenas uma das práticas contábeis na mensuração das PPI, estes setores apresentaram um nível total de comparabilidade. </w:t>
      </w:r>
    </w:p>
    <w:p w14:paraId="055D48B7" w14:textId="77777777" w:rsidR="001B4D9F" w:rsidRPr="00A232C9" w:rsidRDefault="001B4D9F"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Os setores de Consumo Cíclico, Bens Industriais e Consumo Não Cíclico apresentaram uma frequência relativa para o método de valor justo superior com relação à frequência relativa para o m</w:t>
      </w:r>
      <w:r w:rsidR="001D6757" w:rsidRPr="00A232C9">
        <w:rPr>
          <w:rFonts w:ascii="Times New Roman" w:hAnsi="Times New Roman"/>
          <w:sz w:val="24"/>
          <w:szCs w:val="24"/>
          <w:lang w:val="pt-BR"/>
        </w:rPr>
        <w:t xml:space="preserve">étodo de custo e um nível de comparabilidade médio. Destaca-se nestes casos que, quanto maior a frequência relativa para o valor justo, maiores são os valores registrados no índice H. O setor Financeiro e Outros apresentou uma frequência relativa superior para o método de custo e um nível médio de comparabilidade. Quanto às empresas pertencentes ao </w:t>
      </w:r>
      <w:r w:rsidR="001D6757" w:rsidRPr="00A232C9">
        <w:rPr>
          <w:rFonts w:ascii="Times New Roman" w:hAnsi="Times New Roman"/>
          <w:sz w:val="24"/>
          <w:szCs w:val="24"/>
          <w:lang w:val="pt-BR"/>
        </w:rPr>
        <w:lastRenderedPageBreak/>
        <w:t xml:space="preserve">setor de Materiais Básicos, </w:t>
      </w:r>
      <w:r w:rsidR="008B19F2" w:rsidRPr="00A232C9">
        <w:rPr>
          <w:rFonts w:ascii="Times New Roman" w:hAnsi="Times New Roman"/>
          <w:sz w:val="24"/>
          <w:szCs w:val="24"/>
          <w:lang w:val="pt-BR"/>
        </w:rPr>
        <w:t xml:space="preserve">como </w:t>
      </w:r>
      <w:r w:rsidR="001D6757" w:rsidRPr="00A232C9">
        <w:rPr>
          <w:rFonts w:ascii="Times New Roman" w:hAnsi="Times New Roman"/>
          <w:sz w:val="24"/>
          <w:szCs w:val="24"/>
          <w:lang w:val="pt-BR"/>
        </w:rPr>
        <w:t>a frequência relativa igualou-se entre os dois m</w:t>
      </w:r>
      <w:r w:rsidR="008B19F2" w:rsidRPr="00A232C9">
        <w:rPr>
          <w:rFonts w:ascii="Times New Roman" w:hAnsi="Times New Roman"/>
          <w:sz w:val="24"/>
          <w:szCs w:val="24"/>
          <w:lang w:val="pt-BR"/>
        </w:rPr>
        <w:t>étodos, o valor do índice H foi de 0,50</w:t>
      </w:r>
      <w:r w:rsidR="001D6757" w:rsidRPr="00A232C9">
        <w:rPr>
          <w:rFonts w:ascii="Times New Roman" w:hAnsi="Times New Roman"/>
          <w:sz w:val="24"/>
          <w:szCs w:val="24"/>
          <w:lang w:val="pt-BR"/>
        </w:rPr>
        <w:t>.</w:t>
      </w:r>
    </w:p>
    <w:p w14:paraId="66BB4B8D" w14:textId="77777777" w:rsidR="001B4D9F" w:rsidRPr="00A232C9" w:rsidRDefault="008B19F2"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t>É importante salientar que os valores do índice H1 assemelham-se aos valores do índice T1 pelas seguintes razões: ambos descartaram da amostra as empresas que não divulgaram a prática contábil adotada na mensuração das PPI (</w:t>
      </w:r>
      <w:r w:rsidRPr="00A232C9">
        <w:rPr>
          <w:rFonts w:ascii="Times New Roman" w:hAnsi="Times New Roman"/>
          <w:i/>
          <w:sz w:val="24"/>
          <w:szCs w:val="24"/>
          <w:lang w:val="pt-BR"/>
        </w:rPr>
        <w:t>non-disclosure</w:t>
      </w:r>
      <w:r w:rsidRPr="00A232C9">
        <w:rPr>
          <w:rFonts w:ascii="Times New Roman" w:hAnsi="Times New Roman"/>
          <w:sz w:val="24"/>
          <w:szCs w:val="24"/>
          <w:lang w:val="pt-BR"/>
        </w:rPr>
        <w:t>) e a pesquisa analisou empresas de um único país.</w:t>
      </w:r>
    </w:p>
    <w:p w14:paraId="3A4E4D78" w14:textId="5FF3529C" w:rsidR="003A1BF6" w:rsidRDefault="00EA2625"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Os valores referentes a segunda abordagem do índice H e as interpretações acerca do nível de comparabilidade, assim como a</w:t>
      </w:r>
      <w:r w:rsidR="003A1BF6" w:rsidRPr="00A232C9">
        <w:rPr>
          <w:rFonts w:ascii="Times New Roman" w:hAnsi="Times New Roman"/>
          <w:sz w:val="24"/>
          <w:szCs w:val="24"/>
          <w:lang w:val="pt-BR"/>
        </w:rPr>
        <w:t xml:space="preserve">s frequências relativas </w:t>
      </w:r>
      <w:r w:rsidRPr="00A232C9">
        <w:rPr>
          <w:rFonts w:ascii="Times New Roman" w:hAnsi="Times New Roman"/>
          <w:sz w:val="24"/>
          <w:szCs w:val="24"/>
          <w:lang w:val="pt-BR"/>
        </w:rPr>
        <w:t xml:space="preserve">para os </w:t>
      </w:r>
      <w:r w:rsidR="003A1BF6" w:rsidRPr="00A232C9">
        <w:rPr>
          <w:rFonts w:ascii="Times New Roman" w:hAnsi="Times New Roman"/>
          <w:sz w:val="24"/>
          <w:szCs w:val="24"/>
          <w:lang w:val="pt-BR"/>
        </w:rPr>
        <w:t>métodos de custo, valor justo e método n</w:t>
      </w:r>
      <w:r w:rsidRPr="00A232C9">
        <w:rPr>
          <w:rFonts w:ascii="Times New Roman" w:hAnsi="Times New Roman"/>
          <w:sz w:val="24"/>
          <w:szCs w:val="24"/>
          <w:lang w:val="pt-BR"/>
        </w:rPr>
        <w:t xml:space="preserve">ão divulgado, são </w:t>
      </w:r>
      <w:r w:rsidR="007B4EFA" w:rsidRPr="00A232C9">
        <w:rPr>
          <w:rFonts w:ascii="Times New Roman" w:hAnsi="Times New Roman"/>
          <w:sz w:val="24"/>
          <w:szCs w:val="24"/>
          <w:lang w:val="pt-BR"/>
        </w:rPr>
        <w:t>apresentados</w:t>
      </w:r>
      <w:r w:rsidR="00AA2A72">
        <w:rPr>
          <w:rFonts w:ascii="Times New Roman" w:hAnsi="Times New Roman"/>
          <w:sz w:val="24"/>
          <w:szCs w:val="24"/>
          <w:lang w:val="pt-BR"/>
        </w:rPr>
        <w:t xml:space="preserve"> na Tabela 8</w:t>
      </w:r>
      <w:r w:rsidRPr="00A232C9">
        <w:rPr>
          <w:rFonts w:ascii="Times New Roman" w:hAnsi="Times New Roman"/>
          <w:sz w:val="24"/>
          <w:szCs w:val="24"/>
          <w:lang w:val="pt-BR"/>
        </w:rPr>
        <w:t>.</w:t>
      </w:r>
      <w:r w:rsidR="003A1BF6" w:rsidRPr="00A232C9">
        <w:rPr>
          <w:rFonts w:ascii="Times New Roman" w:hAnsi="Times New Roman"/>
          <w:sz w:val="24"/>
          <w:szCs w:val="24"/>
          <w:lang w:val="pt-BR"/>
        </w:rPr>
        <w:t xml:space="preserve">  </w:t>
      </w:r>
    </w:p>
    <w:p w14:paraId="2B79A020"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2A623F02" w14:textId="5EC58F55" w:rsidR="00AA2A72" w:rsidRPr="000D55C2" w:rsidRDefault="00AA2A72" w:rsidP="00AA2A72">
      <w:pPr>
        <w:pStyle w:val="Legenda"/>
        <w:keepNext/>
        <w:spacing w:after="0"/>
        <w:jc w:val="center"/>
        <w:rPr>
          <w:rFonts w:ascii="Times New Roman" w:hAnsi="Times New Roman"/>
          <w:b w:val="0"/>
          <w:color w:val="auto"/>
          <w:sz w:val="20"/>
          <w:szCs w:val="20"/>
          <w:lang w:val="pt-BR"/>
        </w:rPr>
      </w:pPr>
      <w:r w:rsidRPr="000D55C2">
        <w:rPr>
          <w:rFonts w:ascii="Times New Roman" w:hAnsi="Times New Roman"/>
          <w:b w:val="0"/>
          <w:color w:val="auto"/>
          <w:sz w:val="20"/>
          <w:szCs w:val="20"/>
          <w:lang w:val="pt-BR"/>
        </w:rPr>
        <w:t xml:space="preserve">Tabela </w:t>
      </w:r>
      <w:r w:rsidRPr="00AA2A72">
        <w:rPr>
          <w:rFonts w:ascii="Times New Roman" w:hAnsi="Times New Roman"/>
          <w:b w:val="0"/>
          <w:color w:val="auto"/>
          <w:sz w:val="20"/>
          <w:szCs w:val="20"/>
        </w:rPr>
        <w:fldChar w:fldCharType="begin"/>
      </w:r>
      <w:r w:rsidRPr="000D55C2">
        <w:rPr>
          <w:rFonts w:ascii="Times New Roman" w:hAnsi="Times New Roman"/>
          <w:b w:val="0"/>
          <w:color w:val="auto"/>
          <w:sz w:val="20"/>
          <w:szCs w:val="20"/>
          <w:lang w:val="pt-BR"/>
        </w:rPr>
        <w:instrText xml:space="preserve"> SEQ Tabela \* ARABIC </w:instrText>
      </w:r>
      <w:r w:rsidRPr="00AA2A72">
        <w:rPr>
          <w:rFonts w:ascii="Times New Roman" w:hAnsi="Times New Roman"/>
          <w:b w:val="0"/>
          <w:color w:val="auto"/>
          <w:sz w:val="20"/>
          <w:szCs w:val="20"/>
        </w:rPr>
        <w:fldChar w:fldCharType="separate"/>
      </w:r>
      <w:r w:rsidRPr="000D55C2">
        <w:rPr>
          <w:rFonts w:ascii="Times New Roman" w:hAnsi="Times New Roman"/>
          <w:b w:val="0"/>
          <w:color w:val="auto"/>
          <w:sz w:val="20"/>
          <w:szCs w:val="20"/>
          <w:lang w:val="pt-BR"/>
        </w:rPr>
        <w:t>8</w:t>
      </w:r>
      <w:r w:rsidRPr="00AA2A72">
        <w:rPr>
          <w:rFonts w:ascii="Times New Roman" w:hAnsi="Times New Roman"/>
          <w:b w:val="0"/>
          <w:color w:val="auto"/>
          <w:sz w:val="20"/>
          <w:szCs w:val="20"/>
        </w:rPr>
        <w:fldChar w:fldCharType="end"/>
      </w:r>
      <w:r w:rsidRPr="000D55C2">
        <w:rPr>
          <w:rFonts w:ascii="Times New Roman" w:hAnsi="Times New Roman"/>
          <w:b w:val="0"/>
          <w:color w:val="auto"/>
          <w:sz w:val="20"/>
          <w:szCs w:val="20"/>
          <w:lang w:val="pt-BR"/>
        </w:rPr>
        <w:t xml:space="preserve"> - Índice H2 e Nível de Comparabilidade dos Setores</w:t>
      </w:r>
    </w:p>
    <w:tbl>
      <w:tblPr>
        <w:tblW w:w="8999"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1276"/>
        <w:gridCol w:w="1276"/>
        <w:gridCol w:w="1560"/>
        <w:gridCol w:w="1161"/>
        <w:gridCol w:w="876"/>
      </w:tblGrid>
      <w:tr w:rsidR="00D31004" w:rsidRPr="00A4097B" w14:paraId="5FC7461F" w14:textId="77777777" w:rsidTr="00D31004">
        <w:trPr>
          <w:trHeight w:val="227"/>
          <w:jc w:val="center"/>
        </w:trPr>
        <w:tc>
          <w:tcPr>
            <w:tcW w:w="2850" w:type="dxa"/>
            <w:shd w:val="clear" w:color="auto" w:fill="DDD9C3"/>
            <w:vAlign w:val="center"/>
            <w:hideMark/>
          </w:tcPr>
          <w:p w14:paraId="114B151F"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Setor</w:t>
            </w:r>
          </w:p>
        </w:tc>
        <w:tc>
          <w:tcPr>
            <w:tcW w:w="1276" w:type="dxa"/>
            <w:shd w:val="clear" w:color="auto" w:fill="DDD9C3"/>
            <w:vAlign w:val="center"/>
            <w:hideMark/>
          </w:tcPr>
          <w:p w14:paraId="0876026F"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 xml:space="preserve">Frequência Relativa Custo </w:t>
            </w:r>
          </w:p>
        </w:tc>
        <w:tc>
          <w:tcPr>
            <w:tcW w:w="1276" w:type="dxa"/>
            <w:shd w:val="clear" w:color="auto" w:fill="DDD9C3"/>
            <w:vAlign w:val="center"/>
            <w:hideMark/>
          </w:tcPr>
          <w:p w14:paraId="32480A55"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Frequência Relativa Valor Justo</w:t>
            </w:r>
          </w:p>
        </w:tc>
        <w:tc>
          <w:tcPr>
            <w:tcW w:w="1560" w:type="dxa"/>
            <w:shd w:val="clear" w:color="auto" w:fill="DDD9C3"/>
            <w:vAlign w:val="center"/>
            <w:hideMark/>
          </w:tcPr>
          <w:p w14:paraId="10C12697"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 xml:space="preserve">Frequência Relativa Método Não Divulgado </w:t>
            </w:r>
          </w:p>
        </w:tc>
        <w:tc>
          <w:tcPr>
            <w:tcW w:w="1161" w:type="dxa"/>
            <w:shd w:val="clear" w:color="auto" w:fill="DDD9C3"/>
            <w:vAlign w:val="center"/>
            <w:hideMark/>
          </w:tcPr>
          <w:p w14:paraId="5CF21BD0"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color w:val="000000"/>
                <w:sz w:val="20"/>
                <w:szCs w:val="20"/>
                <w:lang w:val="pt-BR" w:eastAsia="pt-BR"/>
              </w:rPr>
              <w:t>Índice H</w:t>
            </w:r>
            <w:r w:rsidR="00175D7F" w:rsidRPr="00A4097B">
              <w:rPr>
                <w:rFonts w:ascii="Times New Roman" w:eastAsia="Times New Roman" w:hAnsi="Times New Roman"/>
                <w:b/>
                <w:bCs/>
                <w:noProof w:val="0"/>
                <w:color w:val="000000"/>
                <w:sz w:val="20"/>
                <w:szCs w:val="20"/>
                <w:lang w:val="pt-BR" w:eastAsia="pt-BR"/>
              </w:rPr>
              <w:t>2</w:t>
            </w:r>
            <w:r w:rsidRPr="00A4097B">
              <w:rPr>
                <w:rFonts w:ascii="Times New Roman" w:eastAsia="Times New Roman" w:hAnsi="Times New Roman"/>
                <w:b/>
                <w:bCs/>
                <w:noProof w:val="0"/>
                <w:color w:val="000000"/>
                <w:sz w:val="20"/>
                <w:szCs w:val="20"/>
                <w:lang w:val="pt-BR" w:eastAsia="pt-BR"/>
              </w:rPr>
              <w:t xml:space="preserve"> por Setor</w:t>
            </w:r>
          </w:p>
        </w:tc>
        <w:tc>
          <w:tcPr>
            <w:tcW w:w="876" w:type="dxa"/>
            <w:shd w:val="clear" w:color="auto" w:fill="DDD9C3"/>
            <w:vAlign w:val="center"/>
          </w:tcPr>
          <w:p w14:paraId="4F21D3CD" w14:textId="77777777" w:rsidR="00D31004" w:rsidRPr="00A4097B" w:rsidRDefault="00D31004" w:rsidP="008E7DAE">
            <w:pPr>
              <w:spacing w:after="0" w:line="240" w:lineRule="auto"/>
              <w:jc w:val="center"/>
              <w:rPr>
                <w:rFonts w:ascii="Times New Roman" w:eastAsia="Times New Roman" w:hAnsi="Times New Roman"/>
                <w:b/>
                <w:bCs/>
                <w:noProof w:val="0"/>
                <w:color w:val="000000"/>
                <w:sz w:val="20"/>
                <w:szCs w:val="20"/>
                <w:lang w:val="pt-BR" w:eastAsia="pt-BR"/>
              </w:rPr>
            </w:pPr>
            <w:r w:rsidRPr="00A4097B">
              <w:rPr>
                <w:rFonts w:ascii="Times New Roman" w:eastAsia="Times New Roman" w:hAnsi="Times New Roman"/>
                <w:b/>
                <w:bCs/>
                <w:noProof w:val="0"/>
                <w:sz w:val="20"/>
                <w:szCs w:val="20"/>
                <w:lang w:val="pt-BR" w:eastAsia="pt-BR"/>
              </w:rPr>
              <w:t>Nível</w:t>
            </w:r>
          </w:p>
        </w:tc>
      </w:tr>
      <w:tr w:rsidR="00D31004" w:rsidRPr="00A4097B" w14:paraId="4B7012D2" w14:textId="77777777" w:rsidTr="00C70ED1">
        <w:trPr>
          <w:trHeight w:val="227"/>
          <w:jc w:val="center"/>
        </w:trPr>
        <w:tc>
          <w:tcPr>
            <w:tcW w:w="2850" w:type="dxa"/>
            <w:shd w:val="clear" w:color="auto" w:fill="auto"/>
            <w:noWrap/>
            <w:vAlign w:val="center"/>
          </w:tcPr>
          <w:p w14:paraId="7ADA0D9E"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 xml:space="preserve">Petróleo, Gás e </w:t>
            </w:r>
            <w:proofErr w:type="gramStart"/>
            <w:r w:rsidRPr="00A4097B">
              <w:rPr>
                <w:rFonts w:ascii="Times New Roman" w:eastAsia="Times New Roman" w:hAnsi="Times New Roman"/>
                <w:noProof w:val="0"/>
                <w:color w:val="000000"/>
                <w:sz w:val="20"/>
                <w:szCs w:val="20"/>
                <w:lang w:val="pt-BR" w:eastAsia="pt-BR"/>
              </w:rPr>
              <w:t>Biocombustíveis</w:t>
            </w:r>
            <w:proofErr w:type="gramEnd"/>
          </w:p>
        </w:tc>
        <w:tc>
          <w:tcPr>
            <w:tcW w:w="1276" w:type="dxa"/>
            <w:shd w:val="clear" w:color="auto" w:fill="auto"/>
            <w:noWrap/>
            <w:vAlign w:val="bottom"/>
          </w:tcPr>
          <w:p w14:paraId="1A4957FE"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276" w:type="dxa"/>
            <w:shd w:val="clear" w:color="auto" w:fill="auto"/>
            <w:noWrap/>
            <w:vAlign w:val="bottom"/>
          </w:tcPr>
          <w:p w14:paraId="0AC16CD7"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560" w:type="dxa"/>
            <w:shd w:val="clear" w:color="auto" w:fill="auto"/>
            <w:noWrap/>
            <w:vAlign w:val="bottom"/>
          </w:tcPr>
          <w:p w14:paraId="3979251C"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161" w:type="dxa"/>
            <w:shd w:val="clear" w:color="auto" w:fill="auto"/>
            <w:noWrap/>
            <w:vAlign w:val="bottom"/>
          </w:tcPr>
          <w:p w14:paraId="77917511"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876" w:type="dxa"/>
            <w:shd w:val="clear" w:color="auto" w:fill="auto"/>
          </w:tcPr>
          <w:p w14:paraId="2244FB79"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D31004" w:rsidRPr="00A4097B" w14:paraId="65C63C90" w14:textId="77777777" w:rsidTr="00C70ED1">
        <w:trPr>
          <w:trHeight w:val="227"/>
          <w:jc w:val="center"/>
        </w:trPr>
        <w:tc>
          <w:tcPr>
            <w:tcW w:w="2850" w:type="dxa"/>
            <w:shd w:val="clear" w:color="auto" w:fill="auto"/>
            <w:noWrap/>
            <w:vAlign w:val="center"/>
          </w:tcPr>
          <w:p w14:paraId="258ECF2B"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Tecnologia da Informação</w:t>
            </w:r>
          </w:p>
        </w:tc>
        <w:tc>
          <w:tcPr>
            <w:tcW w:w="1276" w:type="dxa"/>
            <w:shd w:val="clear" w:color="auto" w:fill="auto"/>
            <w:noWrap/>
            <w:vAlign w:val="bottom"/>
          </w:tcPr>
          <w:p w14:paraId="72AE6608"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276" w:type="dxa"/>
            <w:shd w:val="clear" w:color="auto" w:fill="auto"/>
            <w:noWrap/>
            <w:vAlign w:val="bottom"/>
          </w:tcPr>
          <w:p w14:paraId="278D30B3"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560" w:type="dxa"/>
            <w:shd w:val="clear" w:color="auto" w:fill="auto"/>
            <w:noWrap/>
            <w:vAlign w:val="bottom"/>
          </w:tcPr>
          <w:p w14:paraId="6E921D2A"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161" w:type="dxa"/>
            <w:shd w:val="clear" w:color="auto" w:fill="auto"/>
            <w:noWrap/>
            <w:vAlign w:val="bottom"/>
          </w:tcPr>
          <w:p w14:paraId="7675C1CD"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876" w:type="dxa"/>
            <w:shd w:val="clear" w:color="auto" w:fill="auto"/>
          </w:tcPr>
          <w:p w14:paraId="1E98C4E5"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D31004" w:rsidRPr="00A4097B" w14:paraId="109F5FA1" w14:textId="77777777" w:rsidTr="00C70ED1">
        <w:trPr>
          <w:trHeight w:val="227"/>
          <w:jc w:val="center"/>
        </w:trPr>
        <w:tc>
          <w:tcPr>
            <w:tcW w:w="2850" w:type="dxa"/>
            <w:shd w:val="clear" w:color="auto" w:fill="auto"/>
            <w:noWrap/>
            <w:vAlign w:val="center"/>
          </w:tcPr>
          <w:p w14:paraId="010E431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Telecomunicações</w:t>
            </w:r>
          </w:p>
        </w:tc>
        <w:tc>
          <w:tcPr>
            <w:tcW w:w="1276" w:type="dxa"/>
            <w:shd w:val="clear" w:color="auto" w:fill="auto"/>
            <w:noWrap/>
            <w:vAlign w:val="bottom"/>
          </w:tcPr>
          <w:p w14:paraId="1B2FCC74"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1,00</w:t>
            </w:r>
          </w:p>
        </w:tc>
        <w:tc>
          <w:tcPr>
            <w:tcW w:w="1276" w:type="dxa"/>
            <w:shd w:val="clear" w:color="auto" w:fill="auto"/>
            <w:noWrap/>
            <w:vAlign w:val="bottom"/>
          </w:tcPr>
          <w:p w14:paraId="13C3397D"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560" w:type="dxa"/>
            <w:shd w:val="clear" w:color="auto" w:fill="auto"/>
            <w:noWrap/>
            <w:vAlign w:val="bottom"/>
          </w:tcPr>
          <w:p w14:paraId="438129FE"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161" w:type="dxa"/>
            <w:shd w:val="clear" w:color="auto" w:fill="auto"/>
            <w:noWrap/>
            <w:vAlign w:val="bottom"/>
          </w:tcPr>
          <w:p w14:paraId="4D34D299"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1,00</w:t>
            </w:r>
          </w:p>
        </w:tc>
        <w:tc>
          <w:tcPr>
            <w:tcW w:w="876" w:type="dxa"/>
            <w:shd w:val="clear" w:color="auto" w:fill="auto"/>
          </w:tcPr>
          <w:p w14:paraId="7E800727"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Alta</w:t>
            </w:r>
          </w:p>
        </w:tc>
      </w:tr>
      <w:tr w:rsidR="00D31004" w:rsidRPr="00A4097B" w14:paraId="1F329F33" w14:textId="77777777" w:rsidTr="00C70ED1">
        <w:trPr>
          <w:trHeight w:val="227"/>
          <w:jc w:val="center"/>
        </w:trPr>
        <w:tc>
          <w:tcPr>
            <w:tcW w:w="2850" w:type="dxa"/>
            <w:shd w:val="clear" w:color="auto" w:fill="auto"/>
            <w:noWrap/>
            <w:vAlign w:val="center"/>
          </w:tcPr>
          <w:p w14:paraId="4D244BB9"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Saúde</w:t>
            </w:r>
          </w:p>
        </w:tc>
        <w:tc>
          <w:tcPr>
            <w:tcW w:w="1276" w:type="dxa"/>
            <w:shd w:val="clear" w:color="auto" w:fill="auto"/>
            <w:noWrap/>
            <w:vAlign w:val="bottom"/>
          </w:tcPr>
          <w:p w14:paraId="0479E6CE"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0,33</w:t>
            </w:r>
          </w:p>
        </w:tc>
        <w:tc>
          <w:tcPr>
            <w:tcW w:w="1276" w:type="dxa"/>
            <w:shd w:val="clear" w:color="auto" w:fill="auto"/>
            <w:noWrap/>
            <w:vAlign w:val="bottom"/>
          </w:tcPr>
          <w:p w14:paraId="53982435"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560" w:type="dxa"/>
            <w:shd w:val="clear" w:color="auto" w:fill="auto"/>
            <w:noWrap/>
            <w:vAlign w:val="bottom"/>
          </w:tcPr>
          <w:p w14:paraId="0EB1E803"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0,67</w:t>
            </w:r>
          </w:p>
        </w:tc>
        <w:tc>
          <w:tcPr>
            <w:tcW w:w="1161" w:type="dxa"/>
            <w:shd w:val="clear" w:color="auto" w:fill="auto"/>
            <w:noWrap/>
            <w:vAlign w:val="bottom"/>
          </w:tcPr>
          <w:p w14:paraId="5A1E7E00"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0,56</w:t>
            </w:r>
          </w:p>
        </w:tc>
        <w:tc>
          <w:tcPr>
            <w:tcW w:w="876" w:type="dxa"/>
            <w:shd w:val="clear" w:color="auto" w:fill="auto"/>
          </w:tcPr>
          <w:p w14:paraId="5ED4A7B4"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D31004" w:rsidRPr="00A4097B" w14:paraId="1B671B0F" w14:textId="77777777" w:rsidTr="00C70ED1">
        <w:trPr>
          <w:trHeight w:val="227"/>
          <w:jc w:val="center"/>
        </w:trPr>
        <w:tc>
          <w:tcPr>
            <w:tcW w:w="2850" w:type="dxa"/>
            <w:shd w:val="clear" w:color="auto" w:fill="auto"/>
            <w:noWrap/>
            <w:vAlign w:val="center"/>
          </w:tcPr>
          <w:p w14:paraId="74123633"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Utilidade Pública</w:t>
            </w:r>
          </w:p>
        </w:tc>
        <w:tc>
          <w:tcPr>
            <w:tcW w:w="1276" w:type="dxa"/>
            <w:shd w:val="clear" w:color="auto" w:fill="auto"/>
            <w:noWrap/>
            <w:vAlign w:val="bottom"/>
          </w:tcPr>
          <w:p w14:paraId="79B63816"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0,33</w:t>
            </w:r>
          </w:p>
        </w:tc>
        <w:tc>
          <w:tcPr>
            <w:tcW w:w="1276" w:type="dxa"/>
            <w:shd w:val="clear" w:color="auto" w:fill="auto"/>
            <w:noWrap/>
            <w:vAlign w:val="bottom"/>
          </w:tcPr>
          <w:p w14:paraId="5E92A40B"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560" w:type="dxa"/>
            <w:shd w:val="clear" w:color="auto" w:fill="auto"/>
            <w:noWrap/>
            <w:vAlign w:val="bottom"/>
          </w:tcPr>
          <w:p w14:paraId="3AAC242C"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0,67</w:t>
            </w:r>
          </w:p>
        </w:tc>
        <w:tc>
          <w:tcPr>
            <w:tcW w:w="1161" w:type="dxa"/>
            <w:shd w:val="clear" w:color="auto" w:fill="auto"/>
            <w:noWrap/>
            <w:vAlign w:val="bottom"/>
          </w:tcPr>
          <w:p w14:paraId="78F46E38"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0,56</w:t>
            </w:r>
          </w:p>
        </w:tc>
        <w:tc>
          <w:tcPr>
            <w:tcW w:w="876" w:type="dxa"/>
            <w:shd w:val="clear" w:color="auto" w:fill="auto"/>
          </w:tcPr>
          <w:p w14:paraId="54354A10"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D31004" w:rsidRPr="00A4097B" w14:paraId="31E507E0" w14:textId="77777777" w:rsidTr="00C70ED1">
        <w:trPr>
          <w:trHeight w:val="227"/>
          <w:jc w:val="center"/>
        </w:trPr>
        <w:tc>
          <w:tcPr>
            <w:tcW w:w="2850" w:type="dxa"/>
            <w:shd w:val="clear" w:color="auto" w:fill="auto"/>
            <w:noWrap/>
            <w:vAlign w:val="center"/>
          </w:tcPr>
          <w:p w14:paraId="5D85E0B8"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Consumo Não Cíclico</w:t>
            </w:r>
          </w:p>
        </w:tc>
        <w:tc>
          <w:tcPr>
            <w:tcW w:w="1276" w:type="dxa"/>
            <w:shd w:val="clear" w:color="auto" w:fill="auto"/>
            <w:noWrap/>
            <w:vAlign w:val="bottom"/>
          </w:tcPr>
          <w:p w14:paraId="740ADD9D"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0,43</w:t>
            </w:r>
          </w:p>
        </w:tc>
        <w:tc>
          <w:tcPr>
            <w:tcW w:w="1276" w:type="dxa"/>
            <w:shd w:val="clear" w:color="auto" w:fill="auto"/>
            <w:noWrap/>
            <w:vAlign w:val="bottom"/>
          </w:tcPr>
          <w:p w14:paraId="5FE4CA04"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0,57</w:t>
            </w:r>
          </w:p>
        </w:tc>
        <w:tc>
          <w:tcPr>
            <w:tcW w:w="1560" w:type="dxa"/>
            <w:shd w:val="clear" w:color="auto" w:fill="auto"/>
            <w:noWrap/>
            <w:vAlign w:val="bottom"/>
          </w:tcPr>
          <w:p w14:paraId="6726F090"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0,00</w:t>
            </w:r>
          </w:p>
        </w:tc>
        <w:tc>
          <w:tcPr>
            <w:tcW w:w="1161" w:type="dxa"/>
            <w:shd w:val="clear" w:color="auto" w:fill="auto"/>
            <w:noWrap/>
            <w:vAlign w:val="bottom"/>
          </w:tcPr>
          <w:p w14:paraId="5BE7C0D8"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0,51</w:t>
            </w:r>
          </w:p>
        </w:tc>
        <w:tc>
          <w:tcPr>
            <w:tcW w:w="876" w:type="dxa"/>
            <w:shd w:val="clear" w:color="auto" w:fill="auto"/>
          </w:tcPr>
          <w:p w14:paraId="64DDF3F6"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Média</w:t>
            </w:r>
          </w:p>
        </w:tc>
      </w:tr>
      <w:tr w:rsidR="00D31004" w:rsidRPr="00A4097B" w14:paraId="069185FD" w14:textId="77777777" w:rsidTr="00C70ED1">
        <w:trPr>
          <w:trHeight w:val="227"/>
          <w:jc w:val="center"/>
        </w:trPr>
        <w:tc>
          <w:tcPr>
            <w:tcW w:w="2850" w:type="dxa"/>
            <w:shd w:val="clear" w:color="auto" w:fill="auto"/>
            <w:noWrap/>
            <w:vAlign w:val="center"/>
          </w:tcPr>
          <w:p w14:paraId="3A6BD83E"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Bens Industriais</w:t>
            </w:r>
          </w:p>
        </w:tc>
        <w:tc>
          <w:tcPr>
            <w:tcW w:w="1276" w:type="dxa"/>
            <w:shd w:val="clear" w:color="auto" w:fill="auto"/>
            <w:noWrap/>
            <w:vAlign w:val="bottom"/>
          </w:tcPr>
          <w:p w14:paraId="5653A16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0,36</w:t>
            </w:r>
          </w:p>
        </w:tc>
        <w:tc>
          <w:tcPr>
            <w:tcW w:w="1276" w:type="dxa"/>
            <w:shd w:val="clear" w:color="auto" w:fill="auto"/>
            <w:noWrap/>
            <w:vAlign w:val="bottom"/>
          </w:tcPr>
          <w:p w14:paraId="616304CA"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0,55</w:t>
            </w:r>
          </w:p>
        </w:tc>
        <w:tc>
          <w:tcPr>
            <w:tcW w:w="1560" w:type="dxa"/>
            <w:shd w:val="clear" w:color="auto" w:fill="auto"/>
            <w:noWrap/>
            <w:vAlign w:val="bottom"/>
          </w:tcPr>
          <w:p w14:paraId="2EBBB19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0,09</w:t>
            </w:r>
          </w:p>
        </w:tc>
        <w:tc>
          <w:tcPr>
            <w:tcW w:w="1161" w:type="dxa"/>
            <w:shd w:val="clear" w:color="auto" w:fill="auto"/>
            <w:noWrap/>
            <w:vAlign w:val="bottom"/>
          </w:tcPr>
          <w:p w14:paraId="7197EF00"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0,44</w:t>
            </w:r>
          </w:p>
        </w:tc>
        <w:tc>
          <w:tcPr>
            <w:tcW w:w="876" w:type="dxa"/>
            <w:shd w:val="clear" w:color="auto" w:fill="auto"/>
          </w:tcPr>
          <w:p w14:paraId="6CB8BF58"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Baixa</w:t>
            </w:r>
          </w:p>
        </w:tc>
      </w:tr>
      <w:tr w:rsidR="00D31004" w:rsidRPr="00A4097B" w14:paraId="5299B1B4" w14:textId="77777777" w:rsidTr="00C70ED1">
        <w:trPr>
          <w:trHeight w:val="227"/>
          <w:jc w:val="center"/>
        </w:trPr>
        <w:tc>
          <w:tcPr>
            <w:tcW w:w="2850" w:type="dxa"/>
            <w:shd w:val="clear" w:color="auto" w:fill="auto"/>
            <w:noWrap/>
            <w:vAlign w:val="center"/>
          </w:tcPr>
          <w:p w14:paraId="17CDE77F"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Financeiro e Outros</w:t>
            </w:r>
          </w:p>
        </w:tc>
        <w:tc>
          <w:tcPr>
            <w:tcW w:w="1276" w:type="dxa"/>
            <w:shd w:val="clear" w:color="auto" w:fill="auto"/>
            <w:noWrap/>
            <w:vAlign w:val="bottom"/>
          </w:tcPr>
          <w:p w14:paraId="5136A989"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0,54</w:t>
            </w:r>
          </w:p>
        </w:tc>
        <w:tc>
          <w:tcPr>
            <w:tcW w:w="1276" w:type="dxa"/>
            <w:shd w:val="clear" w:color="auto" w:fill="auto"/>
            <w:noWrap/>
            <w:vAlign w:val="bottom"/>
          </w:tcPr>
          <w:p w14:paraId="3912C1AA"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0,38</w:t>
            </w:r>
          </w:p>
        </w:tc>
        <w:tc>
          <w:tcPr>
            <w:tcW w:w="1560" w:type="dxa"/>
            <w:shd w:val="clear" w:color="auto" w:fill="auto"/>
            <w:noWrap/>
            <w:vAlign w:val="bottom"/>
          </w:tcPr>
          <w:p w14:paraId="1F9C68E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0,08</w:t>
            </w:r>
          </w:p>
        </w:tc>
        <w:tc>
          <w:tcPr>
            <w:tcW w:w="1161" w:type="dxa"/>
            <w:shd w:val="clear" w:color="auto" w:fill="auto"/>
            <w:noWrap/>
            <w:vAlign w:val="bottom"/>
          </w:tcPr>
          <w:p w14:paraId="4E705C93"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0,44</w:t>
            </w:r>
          </w:p>
        </w:tc>
        <w:tc>
          <w:tcPr>
            <w:tcW w:w="876" w:type="dxa"/>
            <w:shd w:val="clear" w:color="auto" w:fill="auto"/>
          </w:tcPr>
          <w:p w14:paraId="479C4F44"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Baixa</w:t>
            </w:r>
          </w:p>
        </w:tc>
      </w:tr>
      <w:tr w:rsidR="00D31004" w:rsidRPr="00A4097B" w14:paraId="4D7EBC54" w14:textId="77777777" w:rsidTr="00C70ED1">
        <w:trPr>
          <w:trHeight w:val="227"/>
          <w:jc w:val="center"/>
        </w:trPr>
        <w:tc>
          <w:tcPr>
            <w:tcW w:w="2850" w:type="dxa"/>
            <w:shd w:val="clear" w:color="auto" w:fill="auto"/>
            <w:noWrap/>
            <w:vAlign w:val="center"/>
            <w:hideMark/>
          </w:tcPr>
          <w:p w14:paraId="6D432399"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Consumo Cíclico</w:t>
            </w:r>
          </w:p>
        </w:tc>
        <w:tc>
          <w:tcPr>
            <w:tcW w:w="1276" w:type="dxa"/>
            <w:shd w:val="clear" w:color="auto" w:fill="auto"/>
            <w:noWrap/>
            <w:vAlign w:val="bottom"/>
            <w:hideMark/>
          </w:tcPr>
          <w:p w14:paraId="43B9A349"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0,25</w:t>
            </w:r>
          </w:p>
        </w:tc>
        <w:tc>
          <w:tcPr>
            <w:tcW w:w="1276" w:type="dxa"/>
            <w:shd w:val="clear" w:color="auto" w:fill="auto"/>
            <w:noWrap/>
            <w:vAlign w:val="bottom"/>
            <w:hideMark/>
          </w:tcPr>
          <w:p w14:paraId="43BA075A"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0,45</w:t>
            </w:r>
          </w:p>
        </w:tc>
        <w:tc>
          <w:tcPr>
            <w:tcW w:w="1560" w:type="dxa"/>
            <w:shd w:val="clear" w:color="auto" w:fill="auto"/>
            <w:noWrap/>
            <w:vAlign w:val="bottom"/>
            <w:hideMark/>
          </w:tcPr>
          <w:p w14:paraId="52B8EDBF"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0,30</w:t>
            </w:r>
          </w:p>
        </w:tc>
        <w:tc>
          <w:tcPr>
            <w:tcW w:w="1161" w:type="dxa"/>
            <w:shd w:val="clear" w:color="auto" w:fill="auto"/>
            <w:noWrap/>
            <w:vAlign w:val="bottom"/>
            <w:hideMark/>
          </w:tcPr>
          <w:p w14:paraId="1B85A15D"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0,36</w:t>
            </w:r>
          </w:p>
        </w:tc>
        <w:tc>
          <w:tcPr>
            <w:tcW w:w="876" w:type="dxa"/>
            <w:shd w:val="clear" w:color="auto" w:fill="auto"/>
          </w:tcPr>
          <w:p w14:paraId="708C329E"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Baixa</w:t>
            </w:r>
          </w:p>
        </w:tc>
      </w:tr>
      <w:tr w:rsidR="00D31004" w:rsidRPr="00A4097B" w14:paraId="11AB4356" w14:textId="77777777" w:rsidTr="00C70ED1">
        <w:trPr>
          <w:trHeight w:val="227"/>
          <w:jc w:val="center"/>
        </w:trPr>
        <w:tc>
          <w:tcPr>
            <w:tcW w:w="2850" w:type="dxa"/>
            <w:shd w:val="clear" w:color="auto" w:fill="auto"/>
            <w:noWrap/>
            <w:vAlign w:val="center"/>
            <w:hideMark/>
          </w:tcPr>
          <w:p w14:paraId="120BAFC5"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Materiais Básicos</w:t>
            </w:r>
          </w:p>
        </w:tc>
        <w:tc>
          <w:tcPr>
            <w:tcW w:w="1276" w:type="dxa"/>
            <w:shd w:val="clear" w:color="auto" w:fill="auto"/>
            <w:noWrap/>
            <w:vAlign w:val="bottom"/>
            <w:hideMark/>
          </w:tcPr>
          <w:p w14:paraId="6562D675"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0,40</w:t>
            </w:r>
          </w:p>
        </w:tc>
        <w:tc>
          <w:tcPr>
            <w:tcW w:w="1276" w:type="dxa"/>
            <w:shd w:val="clear" w:color="auto" w:fill="auto"/>
            <w:noWrap/>
            <w:vAlign w:val="bottom"/>
            <w:hideMark/>
          </w:tcPr>
          <w:p w14:paraId="1BCA21B2"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0,40</w:t>
            </w:r>
          </w:p>
        </w:tc>
        <w:tc>
          <w:tcPr>
            <w:tcW w:w="1560" w:type="dxa"/>
            <w:shd w:val="clear" w:color="auto" w:fill="auto"/>
            <w:noWrap/>
            <w:vAlign w:val="bottom"/>
            <w:hideMark/>
          </w:tcPr>
          <w:p w14:paraId="347B5F50" w14:textId="77777777" w:rsidR="00D31004" w:rsidRPr="00A4097B" w:rsidRDefault="00D31004" w:rsidP="008E7DAE">
            <w:pPr>
              <w:spacing w:after="0" w:line="240" w:lineRule="auto"/>
              <w:jc w:val="center"/>
              <w:rPr>
                <w:rFonts w:ascii="Times New Roman" w:eastAsia="Times New Roman" w:hAnsi="Times New Roman"/>
                <w:noProof w:val="0"/>
                <w:color w:val="000000"/>
                <w:sz w:val="20"/>
                <w:szCs w:val="20"/>
                <w:lang w:val="pt-BR" w:eastAsia="pt-BR"/>
              </w:rPr>
            </w:pPr>
            <w:r w:rsidRPr="00A4097B">
              <w:rPr>
                <w:rFonts w:ascii="Times New Roman" w:eastAsia="Times New Roman" w:hAnsi="Times New Roman"/>
                <w:noProof w:val="0"/>
                <w:color w:val="000000"/>
                <w:sz w:val="20"/>
                <w:szCs w:val="20"/>
                <w:lang w:val="pt-BR" w:eastAsia="pt-BR"/>
              </w:rPr>
              <w:t>0,20</w:t>
            </w:r>
          </w:p>
        </w:tc>
        <w:tc>
          <w:tcPr>
            <w:tcW w:w="1161" w:type="dxa"/>
            <w:shd w:val="clear" w:color="auto" w:fill="auto"/>
            <w:noWrap/>
            <w:vAlign w:val="bottom"/>
            <w:hideMark/>
          </w:tcPr>
          <w:p w14:paraId="7C045BFF"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0,36</w:t>
            </w:r>
          </w:p>
        </w:tc>
        <w:tc>
          <w:tcPr>
            <w:tcW w:w="876" w:type="dxa"/>
            <w:shd w:val="clear" w:color="auto" w:fill="auto"/>
          </w:tcPr>
          <w:p w14:paraId="4E4A40F8" w14:textId="77777777" w:rsidR="00D31004" w:rsidRPr="00A4097B" w:rsidRDefault="00D31004" w:rsidP="008E7DAE">
            <w:pPr>
              <w:spacing w:after="0" w:line="240" w:lineRule="auto"/>
              <w:jc w:val="center"/>
              <w:rPr>
                <w:rFonts w:ascii="Times New Roman" w:eastAsia="Times New Roman" w:hAnsi="Times New Roman"/>
                <w:bCs/>
                <w:noProof w:val="0"/>
                <w:color w:val="000000"/>
                <w:sz w:val="20"/>
                <w:szCs w:val="20"/>
                <w:lang w:val="pt-BR" w:eastAsia="pt-BR"/>
              </w:rPr>
            </w:pPr>
            <w:r w:rsidRPr="00A4097B">
              <w:rPr>
                <w:rFonts w:ascii="Times New Roman" w:eastAsia="Times New Roman" w:hAnsi="Times New Roman"/>
                <w:bCs/>
                <w:noProof w:val="0"/>
                <w:color w:val="000000"/>
                <w:sz w:val="20"/>
                <w:szCs w:val="20"/>
                <w:lang w:val="pt-BR" w:eastAsia="pt-BR"/>
              </w:rPr>
              <w:t>Baixa</w:t>
            </w:r>
          </w:p>
        </w:tc>
      </w:tr>
    </w:tbl>
    <w:p w14:paraId="7242FA87" w14:textId="77777777" w:rsidR="00D31004" w:rsidRDefault="00D31004" w:rsidP="008E7DAE">
      <w:pPr>
        <w:spacing w:after="0" w:line="240" w:lineRule="auto"/>
        <w:rPr>
          <w:rFonts w:ascii="Times New Roman" w:hAnsi="Times New Roman"/>
          <w:sz w:val="20"/>
          <w:szCs w:val="20"/>
        </w:rPr>
      </w:pPr>
      <w:r w:rsidRPr="00A4097B">
        <w:rPr>
          <w:rFonts w:ascii="Times New Roman" w:hAnsi="Times New Roman"/>
          <w:sz w:val="20"/>
          <w:szCs w:val="20"/>
        </w:rPr>
        <w:t>Fonte: Elaborado pelos autores.</w:t>
      </w:r>
    </w:p>
    <w:p w14:paraId="7400C65C" w14:textId="77777777" w:rsidR="004F54B0" w:rsidRPr="00A065E0" w:rsidRDefault="004F54B0" w:rsidP="008E7DAE">
      <w:pPr>
        <w:spacing w:after="0" w:line="240" w:lineRule="auto"/>
        <w:rPr>
          <w:rFonts w:ascii="Times New Roman" w:hAnsi="Times New Roman"/>
          <w:sz w:val="20"/>
          <w:szCs w:val="20"/>
        </w:rPr>
      </w:pPr>
    </w:p>
    <w:p w14:paraId="0E920767" w14:textId="101368FF" w:rsidR="004147C3" w:rsidRPr="00A232C9" w:rsidRDefault="00651811" w:rsidP="008E7DAE">
      <w:pPr>
        <w:spacing w:after="0" w:line="240" w:lineRule="auto"/>
        <w:jc w:val="both"/>
        <w:rPr>
          <w:rFonts w:ascii="Times New Roman" w:hAnsi="Times New Roman"/>
          <w:sz w:val="24"/>
          <w:szCs w:val="24"/>
          <w:lang w:val="pt-BR"/>
        </w:rPr>
      </w:pPr>
      <w:r w:rsidRPr="000D55C2">
        <w:rPr>
          <w:rFonts w:ascii="Times New Roman" w:hAnsi="Times New Roman"/>
          <w:sz w:val="24"/>
          <w:szCs w:val="24"/>
          <w:lang w:val="pt-BR"/>
        </w:rPr>
        <w:tab/>
      </w:r>
      <w:r w:rsidR="00AA2A72">
        <w:rPr>
          <w:rFonts w:ascii="Times New Roman" w:hAnsi="Times New Roman"/>
          <w:sz w:val="24"/>
          <w:szCs w:val="24"/>
          <w:lang w:val="pt-BR"/>
        </w:rPr>
        <w:t>Conforme a Tabela 8</w:t>
      </w:r>
      <w:r w:rsidR="004147C3" w:rsidRPr="00A232C9">
        <w:rPr>
          <w:rFonts w:ascii="Times New Roman" w:hAnsi="Times New Roman"/>
          <w:sz w:val="24"/>
          <w:szCs w:val="24"/>
          <w:lang w:val="pt-BR"/>
        </w:rPr>
        <w:t xml:space="preserve">, verifica-se que os setores de Petróleo, Gás e Biocombustíveis, Tecnologia da Informação e Telecomunicações apresentaram frequência relativa nula para o método não divulgado e um nível total de comparabilidade já que as empresas concentraram-se em apenas um dos métodos possíveis para mensuração das </w:t>
      </w:r>
      <w:r w:rsidR="002E6B3A">
        <w:rPr>
          <w:rFonts w:ascii="Times New Roman" w:hAnsi="Times New Roman"/>
          <w:sz w:val="24"/>
          <w:szCs w:val="24"/>
          <w:lang w:val="pt-BR"/>
        </w:rPr>
        <w:t>PPI</w:t>
      </w:r>
      <w:r w:rsidR="004147C3" w:rsidRPr="00A232C9">
        <w:rPr>
          <w:rFonts w:ascii="Times New Roman" w:hAnsi="Times New Roman"/>
          <w:sz w:val="24"/>
          <w:szCs w:val="24"/>
          <w:lang w:val="pt-BR"/>
        </w:rPr>
        <w:t>. Os setores de Saúde e Utilidade Pública re</w:t>
      </w:r>
      <w:r w:rsidR="000877D7">
        <w:rPr>
          <w:rFonts w:ascii="Times New Roman" w:hAnsi="Times New Roman"/>
          <w:sz w:val="24"/>
          <w:szCs w:val="24"/>
          <w:lang w:val="pt-BR"/>
        </w:rPr>
        <w:t>trataram as maiores concentrações</w:t>
      </w:r>
      <w:r w:rsidR="004147C3" w:rsidRPr="00A232C9">
        <w:rPr>
          <w:rFonts w:ascii="Times New Roman" w:hAnsi="Times New Roman"/>
          <w:sz w:val="24"/>
          <w:szCs w:val="24"/>
          <w:lang w:val="pt-BR"/>
        </w:rPr>
        <w:t xml:space="preserve"> de frequência para o método não divulgado e frequência nula para o método do valor justo, além de u</w:t>
      </w:r>
      <w:r w:rsidR="00BA5E0B">
        <w:rPr>
          <w:rFonts w:ascii="Times New Roman" w:hAnsi="Times New Roman"/>
          <w:sz w:val="24"/>
          <w:szCs w:val="24"/>
          <w:lang w:val="pt-BR"/>
        </w:rPr>
        <w:t>m</w:t>
      </w:r>
      <w:r w:rsidR="004147C3" w:rsidRPr="00A232C9">
        <w:rPr>
          <w:rFonts w:ascii="Times New Roman" w:hAnsi="Times New Roman"/>
          <w:sz w:val="24"/>
          <w:szCs w:val="24"/>
          <w:lang w:val="pt-BR"/>
        </w:rPr>
        <w:t xml:space="preserve"> nível de comparabilidade médio (0,56). Todas as empresas pertencentes ao setor de Consumo Não Cíclico divulgaram qual método optaram na mensuração das PPI e o valor do índice H apontou um nível médio de</w:t>
      </w:r>
      <w:r w:rsidR="00373952" w:rsidRPr="00A232C9">
        <w:rPr>
          <w:rFonts w:ascii="Times New Roman" w:hAnsi="Times New Roman"/>
          <w:sz w:val="24"/>
          <w:szCs w:val="24"/>
          <w:lang w:val="pt-BR"/>
        </w:rPr>
        <w:t xml:space="preserve"> comparabilidade para o setor. </w:t>
      </w:r>
      <w:r w:rsidR="004147C3" w:rsidRPr="00A232C9">
        <w:rPr>
          <w:rFonts w:ascii="Times New Roman" w:hAnsi="Times New Roman"/>
          <w:sz w:val="24"/>
          <w:szCs w:val="24"/>
          <w:lang w:val="pt-BR"/>
        </w:rPr>
        <w:t xml:space="preserve">Os valores de H2 para empresas integrantes dos setores Financeiro e Outros, Consumo Cíclico e Materiais Básicos retrataram um nível baixo de comparabilidade entre as Demonstrações Financeiras de cada setor. </w:t>
      </w:r>
    </w:p>
    <w:p w14:paraId="1332C5B9" w14:textId="0F81050D" w:rsidR="00651811" w:rsidRDefault="00296F7A"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 </w:t>
      </w:r>
      <w:r w:rsidR="00AA2A72">
        <w:rPr>
          <w:rFonts w:ascii="Times New Roman" w:hAnsi="Times New Roman"/>
          <w:sz w:val="24"/>
          <w:szCs w:val="24"/>
          <w:lang w:val="pt-BR"/>
        </w:rPr>
        <w:t>Tabela 9</w:t>
      </w:r>
      <w:r w:rsidR="00651811" w:rsidRPr="00A232C9">
        <w:rPr>
          <w:rFonts w:ascii="Times New Roman" w:hAnsi="Times New Roman"/>
          <w:sz w:val="24"/>
          <w:szCs w:val="24"/>
          <w:lang w:val="pt-BR"/>
        </w:rPr>
        <w:t xml:space="preserve"> a</w:t>
      </w:r>
      <w:r w:rsidRPr="00A232C9">
        <w:rPr>
          <w:rFonts w:ascii="Times New Roman" w:hAnsi="Times New Roman"/>
          <w:sz w:val="24"/>
          <w:szCs w:val="24"/>
          <w:lang w:val="pt-BR"/>
        </w:rPr>
        <w:t>presenta as três abordagens do í</w:t>
      </w:r>
      <w:r w:rsidR="00651811" w:rsidRPr="00A232C9">
        <w:rPr>
          <w:rFonts w:ascii="Times New Roman" w:hAnsi="Times New Roman"/>
          <w:sz w:val="24"/>
          <w:szCs w:val="24"/>
          <w:lang w:val="pt-BR"/>
        </w:rPr>
        <w:t xml:space="preserve">ndice T </w:t>
      </w:r>
      <w:r w:rsidRPr="00A232C9">
        <w:rPr>
          <w:rFonts w:ascii="Times New Roman" w:hAnsi="Times New Roman"/>
          <w:sz w:val="24"/>
          <w:szCs w:val="24"/>
          <w:lang w:val="pt-BR"/>
        </w:rPr>
        <w:t xml:space="preserve">e as duas abordagens do índice H </w:t>
      </w:r>
      <w:r w:rsidR="00651811" w:rsidRPr="00A232C9">
        <w:rPr>
          <w:rFonts w:ascii="Times New Roman" w:hAnsi="Times New Roman"/>
          <w:sz w:val="24"/>
          <w:szCs w:val="24"/>
          <w:lang w:val="pt-BR"/>
        </w:rPr>
        <w:t xml:space="preserve">para a amostra que abrange 91 empresas. A escala de comparabilidade utilizada está presente nos estudos de Souza </w:t>
      </w:r>
      <w:r w:rsidR="00651811" w:rsidRPr="00A232C9">
        <w:rPr>
          <w:rFonts w:ascii="Times New Roman" w:hAnsi="Times New Roman"/>
          <w:i/>
          <w:sz w:val="24"/>
          <w:szCs w:val="24"/>
          <w:lang w:val="pt-BR"/>
        </w:rPr>
        <w:t>et al.</w:t>
      </w:r>
      <w:r w:rsidR="00651811" w:rsidRPr="00A232C9">
        <w:rPr>
          <w:rFonts w:ascii="Times New Roman" w:hAnsi="Times New Roman"/>
          <w:sz w:val="24"/>
          <w:szCs w:val="24"/>
          <w:lang w:val="pt-BR"/>
        </w:rPr>
        <w:t xml:space="preserve"> (2015) e </w:t>
      </w:r>
      <w:r w:rsidR="002153CA">
        <w:rPr>
          <w:rFonts w:ascii="Times New Roman" w:hAnsi="Times New Roman"/>
          <w:sz w:val="24"/>
          <w:szCs w:val="24"/>
          <w:lang w:val="pt-BR"/>
        </w:rPr>
        <w:t>Souza, Silva e Costa (</w:t>
      </w:r>
      <w:r w:rsidR="00651811" w:rsidRPr="00A232C9">
        <w:rPr>
          <w:rFonts w:ascii="Times New Roman" w:hAnsi="Times New Roman"/>
          <w:sz w:val="24"/>
          <w:szCs w:val="24"/>
          <w:lang w:val="pt-BR"/>
        </w:rPr>
        <w:t xml:space="preserve">2013). </w:t>
      </w:r>
    </w:p>
    <w:p w14:paraId="5CC6B659" w14:textId="77777777" w:rsidR="004F54B0" w:rsidRPr="00A065E0" w:rsidRDefault="004F54B0" w:rsidP="008E7DAE">
      <w:pPr>
        <w:spacing w:after="0" w:line="240" w:lineRule="auto"/>
        <w:ind w:firstLine="567"/>
        <w:jc w:val="both"/>
        <w:rPr>
          <w:rFonts w:ascii="Times New Roman" w:hAnsi="Times New Roman"/>
          <w:sz w:val="20"/>
          <w:szCs w:val="20"/>
          <w:lang w:val="pt-BR"/>
        </w:rPr>
      </w:pPr>
    </w:p>
    <w:p w14:paraId="20D78747" w14:textId="63F5B865" w:rsidR="00AA2A72" w:rsidRPr="000D55C2" w:rsidRDefault="00AA2A72" w:rsidP="00AA2A72">
      <w:pPr>
        <w:pStyle w:val="Legenda"/>
        <w:keepNext/>
        <w:spacing w:after="0"/>
        <w:jc w:val="center"/>
        <w:rPr>
          <w:rFonts w:ascii="Times New Roman" w:hAnsi="Times New Roman"/>
          <w:b w:val="0"/>
          <w:color w:val="auto"/>
          <w:sz w:val="20"/>
          <w:szCs w:val="20"/>
          <w:lang w:val="pt-BR"/>
        </w:rPr>
      </w:pPr>
      <w:r w:rsidRPr="000D55C2">
        <w:rPr>
          <w:rFonts w:ascii="Times New Roman" w:hAnsi="Times New Roman"/>
          <w:b w:val="0"/>
          <w:color w:val="auto"/>
          <w:sz w:val="20"/>
          <w:szCs w:val="20"/>
          <w:lang w:val="pt-BR"/>
        </w:rPr>
        <w:t xml:space="preserve">Tabela </w:t>
      </w:r>
      <w:r w:rsidRPr="00AA2A72">
        <w:rPr>
          <w:rFonts w:ascii="Times New Roman" w:hAnsi="Times New Roman"/>
          <w:b w:val="0"/>
          <w:color w:val="auto"/>
          <w:sz w:val="20"/>
          <w:szCs w:val="20"/>
        </w:rPr>
        <w:fldChar w:fldCharType="begin"/>
      </w:r>
      <w:r w:rsidRPr="000D55C2">
        <w:rPr>
          <w:rFonts w:ascii="Times New Roman" w:hAnsi="Times New Roman"/>
          <w:b w:val="0"/>
          <w:color w:val="auto"/>
          <w:sz w:val="20"/>
          <w:szCs w:val="20"/>
          <w:lang w:val="pt-BR"/>
        </w:rPr>
        <w:instrText xml:space="preserve"> SEQ Tabela \* ARABIC </w:instrText>
      </w:r>
      <w:r w:rsidRPr="00AA2A72">
        <w:rPr>
          <w:rFonts w:ascii="Times New Roman" w:hAnsi="Times New Roman"/>
          <w:b w:val="0"/>
          <w:color w:val="auto"/>
          <w:sz w:val="20"/>
          <w:szCs w:val="20"/>
        </w:rPr>
        <w:fldChar w:fldCharType="separate"/>
      </w:r>
      <w:r w:rsidRPr="000D55C2">
        <w:rPr>
          <w:rFonts w:ascii="Times New Roman" w:hAnsi="Times New Roman"/>
          <w:b w:val="0"/>
          <w:color w:val="auto"/>
          <w:sz w:val="20"/>
          <w:szCs w:val="20"/>
          <w:lang w:val="pt-BR"/>
        </w:rPr>
        <w:t>9</w:t>
      </w:r>
      <w:r w:rsidRPr="00AA2A72">
        <w:rPr>
          <w:rFonts w:ascii="Times New Roman" w:hAnsi="Times New Roman"/>
          <w:b w:val="0"/>
          <w:color w:val="auto"/>
          <w:sz w:val="20"/>
          <w:szCs w:val="20"/>
        </w:rPr>
        <w:fldChar w:fldCharType="end"/>
      </w:r>
      <w:r w:rsidRPr="000D55C2">
        <w:rPr>
          <w:rFonts w:ascii="Times New Roman" w:hAnsi="Times New Roman"/>
          <w:b w:val="0"/>
          <w:color w:val="auto"/>
          <w:sz w:val="20"/>
          <w:szCs w:val="20"/>
          <w:lang w:val="pt-BR"/>
        </w:rPr>
        <w:t xml:space="preserve"> - Índice T e H da Amostra</w:t>
      </w:r>
    </w:p>
    <w:tbl>
      <w:tblPr>
        <w:tblW w:w="877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615"/>
        <w:gridCol w:w="743"/>
        <w:gridCol w:w="623"/>
        <w:gridCol w:w="706"/>
        <w:gridCol w:w="755"/>
        <w:gridCol w:w="815"/>
        <w:gridCol w:w="641"/>
        <w:gridCol w:w="815"/>
        <w:gridCol w:w="657"/>
        <w:gridCol w:w="815"/>
      </w:tblGrid>
      <w:tr w:rsidR="0081243F" w:rsidRPr="00A4097B" w14:paraId="1950E8A3" w14:textId="77777777" w:rsidTr="007B4EFA">
        <w:trPr>
          <w:trHeight w:val="195"/>
          <w:jc w:val="center"/>
        </w:trPr>
        <w:tc>
          <w:tcPr>
            <w:tcW w:w="1589" w:type="dxa"/>
            <w:shd w:val="clear" w:color="000000" w:fill="DDD9C4"/>
            <w:noWrap/>
            <w:vAlign w:val="center"/>
            <w:hideMark/>
          </w:tcPr>
          <w:p w14:paraId="0553AFE9"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Amostra / Índice</w:t>
            </w:r>
          </w:p>
        </w:tc>
        <w:tc>
          <w:tcPr>
            <w:tcW w:w="615" w:type="dxa"/>
            <w:shd w:val="clear" w:color="000000" w:fill="DDD9C4"/>
            <w:noWrap/>
            <w:vAlign w:val="center"/>
            <w:hideMark/>
          </w:tcPr>
          <w:p w14:paraId="7690298D"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T1</w:t>
            </w:r>
          </w:p>
        </w:tc>
        <w:tc>
          <w:tcPr>
            <w:tcW w:w="743" w:type="dxa"/>
            <w:shd w:val="clear" w:color="000000" w:fill="DDD9C4"/>
            <w:vAlign w:val="center"/>
          </w:tcPr>
          <w:p w14:paraId="1396F100"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623" w:type="dxa"/>
            <w:shd w:val="clear" w:color="000000" w:fill="DDD9C4"/>
            <w:noWrap/>
            <w:vAlign w:val="center"/>
            <w:hideMark/>
          </w:tcPr>
          <w:p w14:paraId="20A83A55"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T2</w:t>
            </w:r>
          </w:p>
        </w:tc>
        <w:tc>
          <w:tcPr>
            <w:tcW w:w="706" w:type="dxa"/>
            <w:shd w:val="clear" w:color="000000" w:fill="DDD9C4"/>
            <w:vAlign w:val="center"/>
          </w:tcPr>
          <w:p w14:paraId="70D2A498"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755" w:type="dxa"/>
            <w:shd w:val="clear" w:color="000000" w:fill="DDD9C4"/>
            <w:noWrap/>
            <w:vAlign w:val="center"/>
            <w:hideMark/>
          </w:tcPr>
          <w:p w14:paraId="5C0153A1"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T3</w:t>
            </w:r>
          </w:p>
        </w:tc>
        <w:tc>
          <w:tcPr>
            <w:tcW w:w="815" w:type="dxa"/>
            <w:shd w:val="clear" w:color="000000" w:fill="DDD9C4"/>
            <w:vAlign w:val="center"/>
          </w:tcPr>
          <w:p w14:paraId="39F21D6F"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641" w:type="dxa"/>
            <w:shd w:val="clear" w:color="000000" w:fill="DDD9C4"/>
            <w:vAlign w:val="center"/>
          </w:tcPr>
          <w:p w14:paraId="185FEBEA"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H1</w:t>
            </w:r>
          </w:p>
        </w:tc>
        <w:tc>
          <w:tcPr>
            <w:tcW w:w="815" w:type="dxa"/>
            <w:shd w:val="clear" w:color="000000" w:fill="DDD9C4"/>
            <w:vAlign w:val="center"/>
          </w:tcPr>
          <w:p w14:paraId="32EA3983"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c>
          <w:tcPr>
            <w:tcW w:w="657" w:type="dxa"/>
            <w:shd w:val="clear" w:color="000000" w:fill="DDD9C4"/>
            <w:vAlign w:val="center"/>
          </w:tcPr>
          <w:p w14:paraId="5EAD37B2"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H2</w:t>
            </w:r>
          </w:p>
        </w:tc>
        <w:tc>
          <w:tcPr>
            <w:tcW w:w="815" w:type="dxa"/>
            <w:shd w:val="clear" w:color="000000" w:fill="DDD9C4"/>
            <w:vAlign w:val="center"/>
          </w:tcPr>
          <w:p w14:paraId="363E9117" w14:textId="77777777" w:rsidR="0081243F" w:rsidRPr="00A4097B" w:rsidRDefault="0081243F" w:rsidP="008E7DAE">
            <w:pPr>
              <w:spacing w:after="0" w:line="240" w:lineRule="auto"/>
              <w:jc w:val="center"/>
              <w:rPr>
                <w:rFonts w:ascii="Times New Roman" w:eastAsia="Times New Roman" w:hAnsi="Times New Roman"/>
                <w:b/>
                <w:bCs/>
                <w:noProof w:val="0"/>
                <w:sz w:val="20"/>
                <w:szCs w:val="20"/>
                <w:lang w:val="pt-BR" w:eastAsia="pt-BR"/>
              </w:rPr>
            </w:pPr>
            <w:r w:rsidRPr="00A4097B">
              <w:rPr>
                <w:rFonts w:ascii="Times New Roman" w:eastAsia="Times New Roman" w:hAnsi="Times New Roman"/>
                <w:b/>
                <w:bCs/>
                <w:noProof w:val="0"/>
                <w:sz w:val="20"/>
                <w:szCs w:val="20"/>
                <w:lang w:val="pt-BR" w:eastAsia="pt-BR"/>
              </w:rPr>
              <w:t>Nível</w:t>
            </w:r>
          </w:p>
        </w:tc>
      </w:tr>
      <w:tr w:rsidR="0081243F" w:rsidRPr="00A4097B" w14:paraId="1E336BCB" w14:textId="77777777" w:rsidTr="0081243F">
        <w:trPr>
          <w:trHeight w:val="218"/>
          <w:jc w:val="center"/>
        </w:trPr>
        <w:tc>
          <w:tcPr>
            <w:tcW w:w="1589" w:type="dxa"/>
            <w:shd w:val="clear" w:color="auto" w:fill="auto"/>
            <w:noWrap/>
            <w:vAlign w:val="center"/>
            <w:hideMark/>
          </w:tcPr>
          <w:p w14:paraId="4FF9816B"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91 empresas</w:t>
            </w:r>
          </w:p>
        </w:tc>
        <w:tc>
          <w:tcPr>
            <w:tcW w:w="615" w:type="dxa"/>
            <w:shd w:val="clear" w:color="auto" w:fill="auto"/>
            <w:noWrap/>
            <w:vAlign w:val="center"/>
            <w:hideMark/>
          </w:tcPr>
          <w:p w14:paraId="31E6B54C"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0,50</w:t>
            </w:r>
          </w:p>
        </w:tc>
        <w:tc>
          <w:tcPr>
            <w:tcW w:w="743" w:type="dxa"/>
            <w:shd w:val="clear" w:color="auto" w:fill="auto"/>
          </w:tcPr>
          <w:p w14:paraId="7AC5ECC3"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623" w:type="dxa"/>
            <w:shd w:val="clear" w:color="auto" w:fill="auto"/>
            <w:noWrap/>
            <w:vAlign w:val="center"/>
            <w:hideMark/>
          </w:tcPr>
          <w:p w14:paraId="1618F1F9"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0,71</w:t>
            </w:r>
          </w:p>
        </w:tc>
        <w:tc>
          <w:tcPr>
            <w:tcW w:w="706" w:type="dxa"/>
            <w:shd w:val="clear" w:color="auto" w:fill="auto"/>
          </w:tcPr>
          <w:p w14:paraId="56079E1E"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Alta</w:t>
            </w:r>
          </w:p>
        </w:tc>
        <w:tc>
          <w:tcPr>
            <w:tcW w:w="755" w:type="dxa"/>
            <w:shd w:val="clear" w:color="auto" w:fill="auto"/>
            <w:noWrap/>
            <w:vAlign w:val="center"/>
            <w:hideMark/>
          </w:tcPr>
          <w:p w14:paraId="7D49DBBB"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0,29</w:t>
            </w:r>
          </w:p>
        </w:tc>
        <w:tc>
          <w:tcPr>
            <w:tcW w:w="815" w:type="dxa"/>
            <w:shd w:val="clear" w:color="auto" w:fill="auto"/>
          </w:tcPr>
          <w:p w14:paraId="157F9849"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c>
          <w:tcPr>
            <w:tcW w:w="641" w:type="dxa"/>
            <w:vAlign w:val="center"/>
          </w:tcPr>
          <w:p w14:paraId="5B01EC07"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0,50</w:t>
            </w:r>
          </w:p>
        </w:tc>
        <w:tc>
          <w:tcPr>
            <w:tcW w:w="815" w:type="dxa"/>
          </w:tcPr>
          <w:p w14:paraId="73C8BBA1"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Média</w:t>
            </w:r>
          </w:p>
        </w:tc>
        <w:tc>
          <w:tcPr>
            <w:tcW w:w="657" w:type="dxa"/>
            <w:vAlign w:val="center"/>
          </w:tcPr>
          <w:p w14:paraId="76D30FB0"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0,35</w:t>
            </w:r>
          </w:p>
        </w:tc>
        <w:tc>
          <w:tcPr>
            <w:tcW w:w="815" w:type="dxa"/>
          </w:tcPr>
          <w:p w14:paraId="1A0DCB0D" w14:textId="77777777" w:rsidR="0081243F" w:rsidRPr="00A4097B" w:rsidRDefault="0081243F" w:rsidP="008E7DAE">
            <w:pPr>
              <w:spacing w:after="0" w:line="240" w:lineRule="auto"/>
              <w:jc w:val="center"/>
              <w:rPr>
                <w:rFonts w:ascii="Times New Roman" w:eastAsia="Times New Roman" w:hAnsi="Times New Roman"/>
                <w:noProof w:val="0"/>
                <w:sz w:val="20"/>
                <w:szCs w:val="20"/>
                <w:lang w:val="pt-BR" w:eastAsia="pt-BR"/>
              </w:rPr>
            </w:pPr>
            <w:r w:rsidRPr="00A4097B">
              <w:rPr>
                <w:rFonts w:ascii="Times New Roman" w:eastAsia="Times New Roman" w:hAnsi="Times New Roman"/>
                <w:noProof w:val="0"/>
                <w:sz w:val="20"/>
                <w:szCs w:val="20"/>
                <w:lang w:val="pt-BR" w:eastAsia="pt-BR"/>
              </w:rPr>
              <w:t>Baixa</w:t>
            </w:r>
          </w:p>
        </w:tc>
      </w:tr>
    </w:tbl>
    <w:p w14:paraId="35BB1BD2" w14:textId="77777777" w:rsidR="00651811" w:rsidRDefault="00651811" w:rsidP="008E7DAE">
      <w:pPr>
        <w:spacing w:after="0" w:line="240" w:lineRule="auto"/>
        <w:rPr>
          <w:rFonts w:ascii="Times New Roman" w:hAnsi="Times New Roman"/>
          <w:sz w:val="20"/>
          <w:szCs w:val="20"/>
        </w:rPr>
      </w:pPr>
      <w:r w:rsidRPr="00A4097B">
        <w:rPr>
          <w:rFonts w:ascii="Times New Roman" w:hAnsi="Times New Roman"/>
          <w:sz w:val="20"/>
          <w:szCs w:val="20"/>
        </w:rPr>
        <w:t>Fonte: Elaborado pelos autores.</w:t>
      </w:r>
    </w:p>
    <w:p w14:paraId="269B98A7" w14:textId="77777777" w:rsidR="00FA10DD" w:rsidRDefault="00FA10DD" w:rsidP="008E7DAE">
      <w:pPr>
        <w:spacing w:after="0" w:line="240" w:lineRule="auto"/>
        <w:rPr>
          <w:rFonts w:ascii="Times New Roman" w:hAnsi="Times New Roman"/>
          <w:sz w:val="20"/>
          <w:szCs w:val="20"/>
        </w:rPr>
      </w:pPr>
    </w:p>
    <w:p w14:paraId="66270F4B" w14:textId="334BA1A8" w:rsidR="00296F7A" w:rsidRPr="00A232C9" w:rsidRDefault="00651811"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 primeira abordagem do índice T, que desconsidera para a base de cálculo as empresas que não divulgaram o método contábil de mensuração das </w:t>
      </w:r>
      <w:r w:rsidR="002E6B3A">
        <w:rPr>
          <w:rFonts w:ascii="Times New Roman" w:hAnsi="Times New Roman"/>
          <w:sz w:val="24"/>
          <w:szCs w:val="24"/>
          <w:lang w:val="pt-BR"/>
        </w:rPr>
        <w:t>PPI</w:t>
      </w:r>
      <w:r w:rsidRPr="00A232C9">
        <w:rPr>
          <w:rFonts w:ascii="Times New Roman" w:hAnsi="Times New Roman"/>
          <w:sz w:val="24"/>
          <w:szCs w:val="24"/>
          <w:lang w:val="pt-BR"/>
        </w:rPr>
        <w:t xml:space="preserve">, indica um nível médio de comparabilidade, porém com valor bem próximo de uma comparabilidade baixa. </w:t>
      </w:r>
      <w:r w:rsidR="00296F7A" w:rsidRPr="00A232C9">
        <w:rPr>
          <w:rFonts w:ascii="Times New Roman" w:hAnsi="Times New Roman"/>
          <w:sz w:val="24"/>
          <w:szCs w:val="24"/>
          <w:lang w:val="pt-BR"/>
        </w:rPr>
        <w:t xml:space="preserve">Como o estudo utilizou empresas de um único país e a primeira abordagem do índice H também exclui o </w:t>
      </w:r>
      <w:r w:rsidR="00296F7A" w:rsidRPr="00A232C9">
        <w:rPr>
          <w:rFonts w:ascii="Times New Roman" w:hAnsi="Times New Roman"/>
          <w:i/>
          <w:sz w:val="24"/>
          <w:szCs w:val="24"/>
          <w:lang w:val="pt-BR"/>
        </w:rPr>
        <w:t>non-disclosure</w:t>
      </w:r>
      <w:r w:rsidR="00296F7A" w:rsidRPr="00A232C9">
        <w:rPr>
          <w:rFonts w:ascii="Times New Roman" w:hAnsi="Times New Roman"/>
          <w:sz w:val="24"/>
          <w:szCs w:val="24"/>
          <w:lang w:val="pt-BR"/>
        </w:rPr>
        <w:t xml:space="preserve"> no cômputo, os valores de T1 e H1 apresentaram valores iguais. </w:t>
      </w:r>
      <w:r w:rsidRPr="00A232C9">
        <w:rPr>
          <w:rFonts w:ascii="Times New Roman" w:hAnsi="Times New Roman"/>
          <w:sz w:val="24"/>
          <w:szCs w:val="24"/>
          <w:lang w:val="pt-BR"/>
        </w:rPr>
        <w:t xml:space="preserve">A </w:t>
      </w:r>
      <w:r w:rsidRPr="00A232C9">
        <w:rPr>
          <w:rFonts w:ascii="Times New Roman" w:hAnsi="Times New Roman"/>
          <w:sz w:val="24"/>
          <w:szCs w:val="24"/>
          <w:lang w:val="pt-BR"/>
        </w:rPr>
        <w:lastRenderedPageBreak/>
        <w:t xml:space="preserve">interpretação </w:t>
      </w:r>
      <w:r w:rsidR="00296F7A" w:rsidRPr="00A232C9">
        <w:rPr>
          <w:rFonts w:ascii="Times New Roman" w:hAnsi="Times New Roman"/>
          <w:sz w:val="24"/>
          <w:szCs w:val="24"/>
          <w:lang w:val="pt-BR"/>
        </w:rPr>
        <w:t>destes índices</w:t>
      </w:r>
      <w:r w:rsidRPr="00A232C9">
        <w:rPr>
          <w:rFonts w:ascii="Times New Roman" w:hAnsi="Times New Roman"/>
          <w:sz w:val="24"/>
          <w:szCs w:val="24"/>
          <w:lang w:val="pt-BR"/>
        </w:rPr>
        <w:t xml:space="preserve"> pode ser feita de forma que, se forem escolhidas duas empresas aleatoriamente, existe 50% de chance de elas adotarem o mesmo método contábil.  </w:t>
      </w:r>
    </w:p>
    <w:p w14:paraId="03829F72" w14:textId="77777777" w:rsidR="00651811" w:rsidRDefault="00651811"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A segunda abordagem do índice T, que inclui todas as empresas da amostra independemente da não divulgação, revela um alto nível de comparabilidade e a terceira abordagem (0,29) revela um nível baixo de comparabilidade.</w:t>
      </w:r>
      <w:r w:rsidR="00D32BC8" w:rsidRPr="00A232C9">
        <w:rPr>
          <w:rFonts w:ascii="Times New Roman" w:hAnsi="Times New Roman"/>
          <w:sz w:val="24"/>
          <w:szCs w:val="24"/>
          <w:lang w:val="pt-BR"/>
        </w:rPr>
        <w:t xml:space="preserve"> Já a segunda abordagem do índice H, que também inclui todas as empresas da amostra, revelou uma comparabilidade baixa por meio do valor de 0,35.</w:t>
      </w:r>
    </w:p>
    <w:p w14:paraId="31FD0867" w14:textId="77777777" w:rsidR="008E7DAE" w:rsidRPr="00A232C9" w:rsidRDefault="008E7DAE" w:rsidP="008E7DAE">
      <w:pPr>
        <w:spacing w:after="0" w:line="240" w:lineRule="auto"/>
        <w:ind w:firstLine="567"/>
        <w:jc w:val="both"/>
        <w:rPr>
          <w:rFonts w:ascii="Times New Roman" w:hAnsi="Times New Roman"/>
          <w:sz w:val="24"/>
          <w:szCs w:val="24"/>
          <w:lang w:val="pt-BR"/>
        </w:rPr>
      </w:pPr>
    </w:p>
    <w:p w14:paraId="452B7ACE" w14:textId="77777777" w:rsidR="00277B12" w:rsidRPr="00A232C9" w:rsidRDefault="00277B12" w:rsidP="008E7DAE">
      <w:pPr>
        <w:pStyle w:val="PargrafodaLista"/>
        <w:numPr>
          <w:ilvl w:val="0"/>
          <w:numId w:val="18"/>
        </w:numPr>
        <w:spacing w:after="0"/>
        <w:rPr>
          <w:rFonts w:ascii="Times New Roman" w:hAnsi="Times New Roman"/>
          <w:b/>
          <w:sz w:val="24"/>
          <w:szCs w:val="24"/>
        </w:rPr>
      </w:pPr>
      <w:r w:rsidRPr="00A232C9">
        <w:rPr>
          <w:rFonts w:ascii="Times New Roman" w:hAnsi="Times New Roman"/>
          <w:b/>
          <w:sz w:val="24"/>
          <w:szCs w:val="24"/>
        </w:rPr>
        <w:t>CONSIDERAÇÕES FINAIS</w:t>
      </w:r>
    </w:p>
    <w:p w14:paraId="301318FD" w14:textId="6A97DE39" w:rsidR="0051352D" w:rsidRPr="00A232C9" w:rsidRDefault="00F01694"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As normas internacionais </w:t>
      </w:r>
      <w:r w:rsidR="005B5272" w:rsidRPr="00A232C9">
        <w:rPr>
          <w:rFonts w:ascii="Times New Roman" w:hAnsi="Times New Roman"/>
          <w:sz w:val="24"/>
          <w:szCs w:val="24"/>
          <w:lang w:val="pt-BR"/>
        </w:rPr>
        <w:t>(</w:t>
      </w:r>
      <w:r w:rsidRPr="00A232C9">
        <w:rPr>
          <w:rFonts w:ascii="Times New Roman" w:hAnsi="Times New Roman"/>
          <w:i/>
          <w:sz w:val="24"/>
          <w:szCs w:val="24"/>
          <w:lang w:val="pt-BR"/>
        </w:rPr>
        <w:t>International Financial Reporting Standards</w:t>
      </w:r>
      <w:r w:rsidR="005B5272" w:rsidRPr="00A232C9">
        <w:rPr>
          <w:rFonts w:ascii="Times New Roman" w:hAnsi="Times New Roman"/>
          <w:i/>
          <w:sz w:val="24"/>
          <w:szCs w:val="24"/>
          <w:lang w:val="pt-BR"/>
        </w:rPr>
        <w:t xml:space="preserve"> – </w:t>
      </w:r>
      <w:r w:rsidR="005B5272" w:rsidRPr="00A232C9">
        <w:rPr>
          <w:rFonts w:ascii="Times New Roman" w:hAnsi="Times New Roman"/>
          <w:sz w:val="24"/>
          <w:szCs w:val="24"/>
          <w:lang w:val="pt-BR"/>
        </w:rPr>
        <w:t>IFRS)</w:t>
      </w:r>
      <w:r w:rsidR="00E07E60"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emitidas pelo </w:t>
      </w:r>
      <w:r w:rsidRPr="00A232C9">
        <w:rPr>
          <w:rFonts w:ascii="Times New Roman" w:hAnsi="Times New Roman"/>
          <w:i/>
          <w:sz w:val="24"/>
          <w:szCs w:val="24"/>
          <w:lang w:val="pt-BR"/>
        </w:rPr>
        <w:t>Internacional Accounting Standards Board</w:t>
      </w:r>
      <w:r w:rsidR="005B5272" w:rsidRPr="00A232C9">
        <w:rPr>
          <w:rFonts w:ascii="Times New Roman" w:hAnsi="Times New Roman"/>
          <w:sz w:val="24"/>
          <w:szCs w:val="24"/>
          <w:lang w:val="pt-BR"/>
        </w:rPr>
        <w:t xml:space="preserve"> (IASB)</w:t>
      </w:r>
      <w:r w:rsidR="00E07E60" w:rsidRPr="00A232C9">
        <w:rPr>
          <w:rFonts w:ascii="Times New Roman" w:hAnsi="Times New Roman"/>
          <w:sz w:val="24"/>
          <w:szCs w:val="24"/>
          <w:lang w:val="pt-BR"/>
        </w:rPr>
        <w:t>,</w:t>
      </w:r>
      <w:r w:rsidRPr="00A232C9">
        <w:rPr>
          <w:rFonts w:ascii="Times New Roman" w:hAnsi="Times New Roman"/>
          <w:sz w:val="24"/>
          <w:szCs w:val="24"/>
          <w:lang w:val="pt-BR"/>
        </w:rPr>
        <w:t xml:space="preserve"> representaram o ponto de partida para o processo de harmonização dos padrões contábeis visando atender ao crescimento dos mercados de capitais e</w:t>
      </w:r>
      <w:r w:rsidR="00E07E60" w:rsidRPr="00A232C9">
        <w:rPr>
          <w:rFonts w:ascii="Times New Roman" w:hAnsi="Times New Roman"/>
          <w:sz w:val="24"/>
          <w:szCs w:val="24"/>
          <w:lang w:val="pt-BR"/>
        </w:rPr>
        <w:t xml:space="preserve">, consequentemente, a exigência por informações </w:t>
      </w:r>
      <w:r w:rsidRPr="00A232C9">
        <w:rPr>
          <w:rFonts w:ascii="Times New Roman" w:hAnsi="Times New Roman"/>
          <w:sz w:val="24"/>
          <w:szCs w:val="24"/>
          <w:lang w:val="pt-BR"/>
        </w:rPr>
        <w:t xml:space="preserve">cada vez mais relevantes para </w:t>
      </w:r>
      <w:r w:rsidR="00E07E60" w:rsidRPr="00A232C9">
        <w:rPr>
          <w:rFonts w:ascii="Times New Roman" w:hAnsi="Times New Roman"/>
          <w:sz w:val="24"/>
          <w:szCs w:val="24"/>
          <w:lang w:val="pt-BR"/>
        </w:rPr>
        <w:t xml:space="preserve">a tomada de decisão </w:t>
      </w:r>
      <w:r w:rsidR="00521EDC" w:rsidRPr="00A232C9">
        <w:rPr>
          <w:rFonts w:ascii="Times New Roman" w:hAnsi="Times New Roman"/>
          <w:sz w:val="24"/>
          <w:szCs w:val="24"/>
          <w:lang w:val="pt-BR"/>
        </w:rPr>
        <w:t>dos</w:t>
      </w:r>
      <w:r w:rsidR="00E07E60"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usuários. </w:t>
      </w:r>
    </w:p>
    <w:p w14:paraId="67B267D1" w14:textId="77777777" w:rsidR="00387248" w:rsidRPr="00A232C9" w:rsidRDefault="00387248"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Uma das características qualitativas que fornecem maior relevância e utilidade </w:t>
      </w:r>
      <w:r w:rsidR="00251E69" w:rsidRPr="00A232C9">
        <w:rPr>
          <w:rFonts w:ascii="Times New Roman" w:hAnsi="Times New Roman"/>
          <w:sz w:val="24"/>
          <w:szCs w:val="24"/>
          <w:lang w:val="pt-BR"/>
        </w:rPr>
        <w:t>às</w:t>
      </w:r>
      <w:r w:rsidRPr="00A232C9">
        <w:rPr>
          <w:rFonts w:ascii="Times New Roman" w:hAnsi="Times New Roman"/>
          <w:sz w:val="24"/>
          <w:szCs w:val="24"/>
          <w:lang w:val="pt-BR"/>
        </w:rPr>
        <w:t xml:space="preserve"> </w:t>
      </w:r>
      <w:r w:rsidR="00251E69" w:rsidRPr="00A232C9">
        <w:rPr>
          <w:rFonts w:ascii="Times New Roman" w:hAnsi="Times New Roman"/>
          <w:sz w:val="24"/>
          <w:szCs w:val="24"/>
          <w:lang w:val="pt-BR"/>
        </w:rPr>
        <w:t>informações contábeis</w:t>
      </w:r>
      <w:r w:rsidRPr="00A232C9">
        <w:rPr>
          <w:rFonts w:ascii="Times New Roman" w:hAnsi="Times New Roman"/>
          <w:sz w:val="24"/>
          <w:szCs w:val="24"/>
          <w:lang w:val="pt-BR"/>
        </w:rPr>
        <w:t xml:space="preserve"> é a comparabilidade, que permite a comparação de informações entre entidades diferentes ou entre a mesma entidade em períodos d</w:t>
      </w:r>
      <w:r w:rsidR="007D55F7" w:rsidRPr="00A232C9">
        <w:rPr>
          <w:rFonts w:ascii="Times New Roman" w:hAnsi="Times New Roman"/>
          <w:sz w:val="24"/>
          <w:szCs w:val="24"/>
          <w:lang w:val="pt-BR"/>
        </w:rPr>
        <w:t xml:space="preserve">e tempo distintos. Desta forma, a existência de escolhas contábeis, também conhecidas como </w:t>
      </w:r>
      <w:r w:rsidR="007D55F7" w:rsidRPr="00A232C9">
        <w:rPr>
          <w:rFonts w:ascii="Times New Roman" w:hAnsi="Times New Roman"/>
          <w:i/>
          <w:sz w:val="24"/>
          <w:szCs w:val="24"/>
          <w:lang w:val="pt-BR"/>
        </w:rPr>
        <w:t>accounting choices</w:t>
      </w:r>
      <w:r w:rsidR="007D55F7" w:rsidRPr="00A232C9">
        <w:rPr>
          <w:rFonts w:ascii="Times New Roman" w:hAnsi="Times New Roman"/>
          <w:sz w:val="24"/>
          <w:szCs w:val="24"/>
          <w:lang w:val="pt-BR"/>
        </w:rPr>
        <w:t xml:space="preserve">, podem influenciar negativamente a </w:t>
      </w:r>
      <w:r w:rsidR="00251E69" w:rsidRPr="00A232C9">
        <w:rPr>
          <w:rFonts w:ascii="Times New Roman" w:hAnsi="Times New Roman"/>
          <w:sz w:val="24"/>
          <w:szCs w:val="24"/>
          <w:lang w:val="pt-BR"/>
        </w:rPr>
        <w:t>qualidade da informação</w:t>
      </w:r>
      <w:r w:rsidR="007D55F7" w:rsidRPr="00A232C9">
        <w:rPr>
          <w:rFonts w:ascii="Times New Roman" w:hAnsi="Times New Roman"/>
          <w:sz w:val="24"/>
          <w:szCs w:val="24"/>
          <w:lang w:val="pt-BR"/>
        </w:rPr>
        <w:t xml:space="preserve">. </w:t>
      </w:r>
    </w:p>
    <w:p w14:paraId="4245A8D3" w14:textId="5BFBBAB3" w:rsidR="00A00E5E" w:rsidRPr="00A232C9" w:rsidRDefault="008C176F"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As propriedades para i</w:t>
      </w:r>
      <w:r w:rsidR="007D55F7" w:rsidRPr="00A232C9">
        <w:rPr>
          <w:rFonts w:ascii="Times New Roman" w:hAnsi="Times New Roman"/>
          <w:sz w:val="24"/>
          <w:szCs w:val="24"/>
          <w:lang w:val="pt-BR"/>
        </w:rPr>
        <w:t>nvestimento – regulamentadas pelo Pronunciamento Técnico 28 (CPC, 2009) – são aquelas mantidas para aluguel e/ou valorização de capital e caracterizam-se como um dos casos de escolhas contábeis permitidas pelas normas internacionais. Através do questionamento da influência que a existência de métodos alternativos de contabilizaç</w:t>
      </w:r>
      <w:r w:rsidR="00D10869" w:rsidRPr="00A232C9">
        <w:rPr>
          <w:rFonts w:ascii="Times New Roman" w:hAnsi="Times New Roman"/>
          <w:sz w:val="24"/>
          <w:szCs w:val="24"/>
          <w:lang w:val="pt-BR"/>
        </w:rPr>
        <w:t>ão pode</w:t>
      </w:r>
      <w:r w:rsidR="007D55F7" w:rsidRPr="00A232C9">
        <w:rPr>
          <w:rFonts w:ascii="Times New Roman" w:hAnsi="Times New Roman"/>
          <w:sz w:val="24"/>
          <w:szCs w:val="24"/>
          <w:lang w:val="pt-BR"/>
        </w:rPr>
        <w:t xml:space="preserve"> </w:t>
      </w:r>
      <w:r w:rsidR="00D10869" w:rsidRPr="00A232C9">
        <w:rPr>
          <w:rFonts w:ascii="Times New Roman" w:hAnsi="Times New Roman"/>
          <w:sz w:val="24"/>
          <w:szCs w:val="24"/>
          <w:lang w:val="pt-BR"/>
        </w:rPr>
        <w:t>ter sobre a</w:t>
      </w:r>
      <w:r w:rsidR="007D55F7" w:rsidRPr="00A232C9">
        <w:rPr>
          <w:rFonts w:ascii="Times New Roman" w:hAnsi="Times New Roman"/>
          <w:sz w:val="24"/>
          <w:szCs w:val="24"/>
          <w:lang w:val="pt-BR"/>
        </w:rPr>
        <w:t xml:space="preserve"> característica de comparabilidade, o estudo </w:t>
      </w:r>
      <w:r w:rsidR="00521EDC" w:rsidRPr="00A232C9">
        <w:rPr>
          <w:rFonts w:ascii="Times New Roman" w:hAnsi="Times New Roman"/>
          <w:sz w:val="24"/>
          <w:szCs w:val="24"/>
          <w:lang w:val="pt-BR"/>
        </w:rPr>
        <w:t>teve</w:t>
      </w:r>
      <w:r w:rsidR="007D55F7" w:rsidRPr="00A232C9">
        <w:rPr>
          <w:rFonts w:ascii="Times New Roman" w:hAnsi="Times New Roman"/>
          <w:sz w:val="24"/>
          <w:szCs w:val="24"/>
          <w:lang w:val="pt-BR"/>
        </w:rPr>
        <w:t xml:space="preserve"> </w:t>
      </w:r>
      <w:r w:rsidR="00521EDC" w:rsidRPr="00A232C9">
        <w:rPr>
          <w:rFonts w:ascii="Times New Roman" w:hAnsi="Times New Roman"/>
          <w:sz w:val="24"/>
          <w:szCs w:val="24"/>
          <w:lang w:val="pt-BR"/>
        </w:rPr>
        <w:t>com</w:t>
      </w:r>
      <w:r w:rsidR="007C5AD9">
        <w:rPr>
          <w:rFonts w:ascii="Times New Roman" w:hAnsi="Times New Roman"/>
          <w:sz w:val="24"/>
          <w:szCs w:val="24"/>
          <w:lang w:val="pt-BR"/>
        </w:rPr>
        <w:t>o</w:t>
      </w:r>
      <w:r w:rsidR="007D55F7" w:rsidRPr="00A232C9">
        <w:rPr>
          <w:rFonts w:ascii="Times New Roman" w:hAnsi="Times New Roman"/>
          <w:sz w:val="24"/>
          <w:szCs w:val="24"/>
          <w:lang w:val="pt-BR"/>
        </w:rPr>
        <w:t xml:space="preserve"> objetivo verificar o nível de comparabilidade da mensuração após o reconhecimento inicial das </w:t>
      </w:r>
      <w:r w:rsidR="002E6B3A">
        <w:rPr>
          <w:rFonts w:ascii="Times New Roman" w:hAnsi="Times New Roman"/>
          <w:sz w:val="24"/>
          <w:szCs w:val="24"/>
          <w:lang w:val="pt-BR"/>
        </w:rPr>
        <w:t>PPI</w:t>
      </w:r>
      <w:r w:rsidR="007D55F7" w:rsidRPr="00A232C9">
        <w:rPr>
          <w:rFonts w:ascii="Times New Roman" w:hAnsi="Times New Roman"/>
          <w:sz w:val="24"/>
          <w:szCs w:val="24"/>
          <w:lang w:val="pt-BR"/>
        </w:rPr>
        <w:t xml:space="preserve"> das companhias abertas listadas na BM&amp;FBOVESPA.</w:t>
      </w:r>
      <w:r w:rsidR="00A00E5E" w:rsidRPr="00A232C9">
        <w:rPr>
          <w:rFonts w:ascii="Times New Roman" w:hAnsi="Times New Roman"/>
          <w:sz w:val="24"/>
          <w:szCs w:val="24"/>
          <w:lang w:val="pt-BR"/>
        </w:rPr>
        <w:t xml:space="preserve"> </w:t>
      </w:r>
      <w:r w:rsidR="00B573B2" w:rsidRPr="00A232C9">
        <w:rPr>
          <w:rFonts w:ascii="Times New Roman" w:hAnsi="Times New Roman"/>
          <w:sz w:val="24"/>
          <w:szCs w:val="24"/>
          <w:lang w:val="pt-BR"/>
        </w:rPr>
        <w:t>A amostra foi composta por 91 empresas listadas em dez s</w:t>
      </w:r>
      <w:r w:rsidR="00E13198" w:rsidRPr="00A232C9">
        <w:rPr>
          <w:rFonts w:ascii="Times New Roman" w:hAnsi="Times New Roman"/>
          <w:sz w:val="24"/>
          <w:szCs w:val="24"/>
          <w:lang w:val="pt-BR"/>
        </w:rPr>
        <w:t xml:space="preserve">etores distintos da BM&amp;FBOVESPA, </w:t>
      </w:r>
      <w:r w:rsidR="00B573B2" w:rsidRPr="00A232C9">
        <w:rPr>
          <w:rFonts w:ascii="Times New Roman" w:hAnsi="Times New Roman"/>
          <w:sz w:val="24"/>
          <w:szCs w:val="24"/>
          <w:lang w:val="pt-BR"/>
        </w:rPr>
        <w:t xml:space="preserve">que </w:t>
      </w:r>
      <w:r w:rsidR="00E13198" w:rsidRPr="00A232C9">
        <w:rPr>
          <w:rFonts w:ascii="Times New Roman" w:hAnsi="Times New Roman"/>
          <w:sz w:val="24"/>
          <w:szCs w:val="24"/>
          <w:lang w:val="pt-BR"/>
        </w:rPr>
        <w:t xml:space="preserve">representam aquelas </w:t>
      </w:r>
      <w:r w:rsidR="00FF0ED6" w:rsidRPr="00A232C9">
        <w:rPr>
          <w:rFonts w:ascii="Times New Roman" w:hAnsi="Times New Roman"/>
          <w:sz w:val="24"/>
          <w:szCs w:val="24"/>
          <w:lang w:val="pt-BR"/>
        </w:rPr>
        <w:t>com</w:t>
      </w:r>
      <w:r w:rsidR="00B573B2" w:rsidRPr="00A232C9">
        <w:rPr>
          <w:rFonts w:ascii="Times New Roman" w:hAnsi="Times New Roman"/>
          <w:sz w:val="24"/>
          <w:szCs w:val="24"/>
          <w:lang w:val="pt-BR"/>
        </w:rPr>
        <w:t xml:space="preserve"> saldos de PPI no exerc</w:t>
      </w:r>
      <w:r w:rsidR="00E13198" w:rsidRPr="00A232C9">
        <w:rPr>
          <w:rFonts w:ascii="Times New Roman" w:hAnsi="Times New Roman"/>
          <w:sz w:val="24"/>
          <w:szCs w:val="24"/>
          <w:lang w:val="pt-BR"/>
        </w:rPr>
        <w:t xml:space="preserve">ício social de 2015 dentre uma população de 457 empresas. </w:t>
      </w:r>
    </w:p>
    <w:p w14:paraId="056A6FB6" w14:textId="1C9FAFF6" w:rsidR="00A00E5E" w:rsidRPr="00A232C9" w:rsidRDefault="00E13198"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Buscando </w:t>
      </w:r>
      <w:r w:rsidR="000D55C2">
        <w:rPr>
          <w:rFonts w:ascii="Times New Roman" w:hAnsi="Times New Roman"/>
          <w:sz w:val="24"/>
          <w:szCs w:val="24"/>
          <w:lang w:val="pt-BR"/>
        </w:rPr>
        <w:t>atingir</w:t>
      </w:r>
      <w:r w:rsidRPr="00A232C9">
        <w:rPr>
          <w:rFonts w:ascii="Times New Roman" w:hAnsi="Times New Roman"/>
          <w:sz w:val="24"/>
          <w:szCs w:val="24"/>
          <w:lang w:val="pt-BR"/>
        </w:rPr>
        <w:t xml:space="preserve"> ao objetivo específico (i) </w:t>
      </w:r>
      <w:r w:rsidR="00251E69" w:rsidRPr="00A232C9">
        <w:rPr>
          <w:rFonts w:ascii="Times New Roman" w:hAnsi="Times New Roman"/>
          <w:sz w:val="24"/>
          <w:szCs w:val="24"/>
          <w:lang w:val="pt-BR"/>
        </w:rPr>
        <w:t>para</w:t>
      </w:r>
      <w:r w:rsidR="00F56E80" w:rsidRPr="00A232C9">
        <w:rPr>
          <w:rFonts w:ascii="Times New Roman" w:hAnsi="Times New Roman"/>
          <w:sz w:val="24"/>
          <w:szCs w:val="24"/>
          <w:lang w:val="pt-BR"/>
        </w:rPr>
        <w:t xml:space="preserve"> </w:t>
      </w:r>
      <w:r w:rsidRPr="00A232C9">
        <w:rPr>
          <w:rFonts w:ascii="Times New Roman" w:hAnsi="Times New Roman"/>
          <w:sz w:val="24"/>
          <w:szCs w:val="24"/>
          <w:lang w:val="pt-BR"/>
        </w:rPr>
        <w:t xml:space="preserve">identificar o método utilizado na mensuração das </w:t>
      </w:r>
      <w:r w:rsidR="002E6B3A">
        <w:rPr>
          <w:rFonts w:ascii="Times New Roman" w:hAnsi="Times New Roman"/>
          <w:sz w:val="24"/>
          <w:szCs w:val="24"/>
          <w:lang w:val="pt-BR"/>
        </w:rPr>
        <w:t>PPI</w:t>
      </w:r>
      <w:r w:rsidRPr="00A232C9">
        <w:rPr>
          <w:rFonts w:ascii="Times New Roman" w:hAnsi="Times New Roman"/>
          <w:sz w:val="24"/>
          <w:szCs w:val="24"/>
          <w:lang w:val="pt-BR"/>
        </w:rPr>
        <w:t xml:space="preserve">, </w:t>
      </w:r>
      <w:r w:rsidR="00251E69" w:rsidRPr="00A232C9">
        <w:rPr>
          <w:rFonts w:ascii="Times New Roman" w:hAnsi="Times New Roman"/>
          <w:sz w:val="24"/>
          <w:szCs w:val="24"/>
          <w:lang w:val="pt-BR"/>
        </w:rPr>
        <w:t>verificou</w:t>
      </w:r>
      <w:r w:rsidRPr="00A232C9">
        <w:rPr>
          <w:rFonts w:ascii="Times New Roman" w:hAnsi="Times New Roman"/>
          <w:sz w:val="24"/>
          <w:szCs w:val="24"/>
          <w:lang w:val="pt-BR"/>
        </w:rPr>
        <w:t xml:space="preserve">-se que a maioria </w:t>
      </w:r>
      <w:r w:rsidR="00F56E80" w:rsidRPr="00A232C9">
        <w:rPr>
          <w:rFonts w:ascii="Times New Roman" w:hAnsi="Times New Roman"/>
          <w:sz w:val="24"/>
          <w:szCs w:val="24"/>
          <w:lang w:val="pt-BR"/>
        </w:rPr>
        <w:t xml:space="preserve">das empresas </w:t>
      </w:r>
      <w:r w:rsidRPr="00A232C9">
        <w:rPr>
          <w:rFonts w:ascii="Times New Roman" w:hAnsi="Times New Roman"/>
          <w:sz w:val="24"/>
          <w:szCs w:val="24"/>
          <w:lang w:val="pt-BR"/>
        </w:rPr>
        <w:t>aplica o m</w:t>
      </w:r>
      <w:r w:rsidR="00F56E80" w:rsidRPr="00A232C9">
        <w:rPr>
          <w:rFonts w:ascii="Times New Roman" w:hAnsi="Times New Roman"/>
          <w:sz w:val="24"/>
          <w:szCs w:val="24"/>
          <w:lang w:val="pt-BR"/>
        </w:rPr>
        <w:t xml:space="preserve">étodo de custo (40%), porém com pouca diferença para o método de valor justo (33%), </w:t>
      </w:r>
      <w:r w:rsidRPr="00A232C9">
        <w:rPr>
          <w:rFonts w:ascii="Times New Roman" w:hAnsi="Times New Roman"/>
          <w:sz w:val="24"/>
          <w:szCs w:val="24"/>
          <w:lang w:val="pt-BR"/>
        </w:rPr>
        <w:t xml:space="preserve">e que uma grande </w:t>
      </w:r>
      <w:r w:rsidR="006C6DCD" w:rsidRPr="00A232C9">
        <w:rPr>
          <w:rFonts w:ascii="Times New Roman" w:hAnsi="Times New Roman"/>
          <w:sz w:val="24"/>
          <w:szCs w:val="24"/>
          <w:lang w:val="pt-BR"/>
        </w:rPr>
        <w:t>parte</w:t>
      </w:r>
      <w:r w:rsidRPr="00A232C9">
        <w:rPr>
          <w:rFonts w:ascii="Times New Roman" w:hAnsi="Times New Roman"/>
          <w:sz w:val="24"/>
          <w:szCs w:val="24"/>
          <w:lang w:val="pt-BR"/>
        </w:rPr>
        <w:t xml:space="preserve"> não divulga o </w:t>
      </w:r>
      <w:r w:rsidR="00C606F3">
        <w:rPr>
          <w:rFonts w:ascii="Times New Roman" w:hAnsi="Times New Roman"/>
          <w:sz w:val="24"/>
          <w:szCs w:val="24"/>
          <w:lang w:val="pt-BR"/>
        </w:rPr>
        <w:t xml:space="preserve">método contábil utilizado (24%), </w:t>
      </w:r>
      <w:r w:rsidR="006C6DCD" w:rsidRPr="00A232C9">
        <w:rPr>
          <w:rFonts w:ascii="Times New Roman" w:hAnsi="Times New Roman"/>
          <w:sz w:val="24"/>
          <w:szCs w:val="24"/>
          <w:lang w:val="pt-BR"/>
        </w:rPr>
        <w:t xml:space="preserve">desobedecendo a </w:t>
      </w:r>
      <w:r w:rsidRPr="00A232C9">
        <w:rPr>
          <w:rFonts w:ascii="Times New Roman" w:hAnsi="Times New Roman"/>
          <w:sz w:val="24"/>
          <w:szCs w:val="24"/>
          <w:lang w:val="pt-BR"/>
        </w:rPr>
        <w:t xml:space="preserve">uma das obrigatoriedades de divulgação </w:t>
      </w:r>
      <w:r w:rsidR="00F56E80" w:rsidRPr="00A232C9">
        <w:rPr>
          <w:rFonts w:ascii="Times New Roman" w:hAnsi="Times New Roman"/>
          <w:sz w:val="24"/>
          <w:szCs w:val="24"/>
          <w:lang w:val="pt-BR"/>
        </w:rPr>
        <w:t>conforme o</w:t>
      </w:r>
      <w:r w:rsidRPr="00A232C9">
        <w:rPr>
          <w:rFonts w:ascii="Times New Roman" w:hAnsi="Times New Roman"/>
          <w:sz w:val="24"/>
          <w:szCs w:val="24"/>
          <w:lang w:val="pt-BR"/>
        </w:rPr>
        <w:t xml:space="preserve"> CPC 28 (2009).</w:t>
      </w:r>
      <w:r w:rsidR="00A00E5E" w:rsidRPr="00A232C9">
        <w:rPr>
          <w:rFonts w:ascii="Times New Roman" w:hAnsi="Times New Roman"/>
          <w:sz w:val="24"/>
          <w:szCs w:val="24"/>
          <w:lang w:val="pt-BR"/>
        </w:rPr>
        <w:t xml:space="preserve"> </w:t>
      </w:r>
    </w:p>
    <w:p w14:paraId="5F4C506A" w14:textId="505D96CA" w:rsidR="007D55F7" w:rsidRPr="00A232C9" w:rsidRDefault="006C6DCD"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Os </w:t>
      </w:r>
      <w:r w:rsidR="0013453B" w:rsidRPr="00A232C9">
        <w:rPr>
          <w:rFonts w:ascii="Times New Roman" w:hAnsi="Times New Roman"/>
          <w:sz w:val="24"/>
          <w:szCs w:val="24"/>
          <w:lang w:val="pt-BR"/>
        </w:rPr>
        <w:t xml:space="preserve">resultados </w:t>
      </w:r>
      <w:r w:rsidR="00A00E5E" w:rsidRPr="00A232C9">
        <w:rPr>
          <w:rFonts w:ascii="Times New Roman" w:hAnsi="Times New Roman"/>
          <w:sz w:val="24"/>
          <w:szCs w:val="24"/>
          <w:lang w:val="pt-BR"/>
        </w:rPr>
        <w:t>encontrados com relação</w:t>
      </w:r>
      <w:r w:rsidRPr="00A232C9">
        <w:rPr>
          <w:rFonts w:ascii="Times New Roman" w:hAnsi="Times New Roman"/>
          <w:sz w:val="24"/>
          <w:szCs w:val="24"/>
          <w:lang w:val="pt-BR"/>
        </w:rPr>
        <w:t xml:space="preserve"> à predominância do método de custo na mensuração posterior ao reconhecimento inicial </w:t>
      </w:r>
      <w:r w:rsidR="00A00E5E" w:rsidRPr="00A232C9">
        <w:rPr>
          <w:rFonts w:ascii="Times New Roman" w:hAnsi="Times New Roman"/>
          <w:sz w:val="24"/>
          <w:szCs w:val="24"/>
          <w:lang w:val="pt-BR"/>
        </w:rPr>
        <w:t xml:space="preserve">das propriedades </w:t>
      </w:r>
      <w:r w:rsidR="0013453B" w:rsidRPr="00A232C9">
        <w:rPr>
          <w:rFonts w:ascii="Times New Roman" w:hAnsi="Times New Roman"/>
          <w:sz w:val="24"/>
          <w:szCs w:val="24"/>
          <w:lang w:val="pt-BR"/>
        </w:rPr>
        <w:t xml:space="preserve">vão ao encontro dos estudos de </w:t>
      </w:r>
      <w:r w:rsidR="002153CA">
        <w:rPr>
          <w:rFonts w:ascii="Times New Roman" w:hAnsi="Times New Roman"/>
          <w:sz w:val="24"/>
          <w:szCs w:val="24"/>
          <w:lang w:val="pt-BR"/>
        </w:rPr>
        <w:t>Costa, Silva e Laurencel</w:t>
      </w:r>
      <w:r w:rsidR="00A00E5E" w:rsidRPr="00A232C9">
        <w:rPr>
          <w:rFonts w:ascii="Times New Roman" w:hAnsi="Times New Roman"/>
          <w:sz w:val="24"/>
          <w:szCs w:val="24"/>
          <w:lang w:val="pt-BR"/>
        </w:rPr>
        <w:t xml:space="preserve"> (2013); Andrade</w:t>
      </w:r>
      <w:r w:rsidR="002153CA">
        <w:rPr>
          <w:rFonts w:ascii="Times New Roman" w:hAnsi="Times New Roman"/>
          <w:sz w:val="24"/>
          <w:szCs w:val="24"/>
          <w:lang w:val="pt-BR"/>
        </w:rPr>
        <w:t>, Silva e Malaquias</w:t>
      </w:r>
      <w:r w:rsidR="00A00E5E" w:rsidRPr="00A232C9">
        <w:rPr>
          <w:rFonts w:ascii="Times New Roman" w:hAnsi="Times New Roman"/>
          <w:sz w:val="24"/>
          <w:szCs w:val="24"/>
          <w:lang w:val="pt-BR"/>
        </w:rPr>
        <w:t xml:space="preserve"> (2013); e Botinha e Lemes (2016). Além disso, </w:t>
      </w:r>
      <w:r w:rsidR="002A73EA" w:rsidRPr="00A232C9">
        <w:rPr>
          <w:rFonts w:ascii="Times New Roman" w:hAnsi="Times New Roman"/>
          <w:sz w:val="24"/>
          <w:szCs w:val="24"/>
          <w:lang w:val="pt-BR"/>
        </w:rPr>
        <w:t>esta pesquisa observou que o Setor de Telecomunicações – apesar de incluir apenas uma empresa – adotou 100% o método de custo</w:t>
      </w:r>
      <w:r w:rsidR="00251E69" w:rsidRPr="00A232C9">
        <w:rPr>
          <w:rFonts w:ascii="Times New Roman" w:hAnsi="Times New Roman"/>
          <w:sz w:val="24"/>
          <w:szCs w:val="24"/>
          <w:lang w:val="pt-BR"/>
        </w:rPr>
        <w:t xml:space="preserve">, </w:t>
      </w:r>
      <w:r w:rsidR="002A73EA" w:rsidRPr="00A232C9">
        <w:rPr>
          <w:rFonts w:ascii="Times New Roman" w:hAnsi="Times New Roman"/>
          <w:sz w:val="24"/>
          <w:szCs w:val="24"/>
          <w:lang w:val="pt-BR"/>
        </w:rPr>
        <w:t xml:space="preserve">validando o artigo de </w:t>
      </w:r>
      <w:r w:rsidR="00A00E5E" w:rsidRPr="00A232C9">
        <w:rPr>
          <w:rFonts w:ascii="Times New Roman" w:hAnsi="Times New Roman"/>
          <w:sz w:val="24"/>
          <w:szCs w:val="24"/>
          <w:lang w:val="pt-BR"/>
        </w:rPr>
        <w:t xml:space="preserve">Botinha e Lemes (2016) </w:t>
      </w:r>
      <w:r w:rsidR="002A73EA" w:rsidRPr="00A232C9">
        <w:rPr>
          <w:rFonts w:ascii="Times New Roman" w:hAnsi="Times New Roman"/>
          <w:sz w:val="24"/>
          <w:szCs w:val="24"/>
          <w:lang w:val="pt-BR"/>
        </w:rPr>
        <w:t xml:space="preserve">que </w:t>
      </w:r>
      <w:r w:rsidR="00A00E5E" w:rsidRPr="00A232C9">
        <w:rPr>
          <w:rFonts w:ascii="Times New Roman" w:hAnsi="Times New Roman"/>
          <w:sz w:val="24"/>
          <w:szCs w:val="24"/>
          <w:lang w:val="pt-BR"/>
        </w:rPr>
        <w:t>verifi</w:t>
      </w:r>
      <w:r w:rsidR="002A73EA" w:rsidRPr="00A232C9">
        <w:rPr>
          <w:rFonts w:ascii="Times New Roman" w:hAnsi="Times New Roman"/>
          <w:sz w:val="24"/>
          <w:szCs w:val="24"/>
          <w:lang w:val="pt-BR"/>
        </w:rPr>
        <w:t>cou</w:t>
      </w:r>
      <w:r w:rsidR="00A00E5E" w:rsidRPr="00A232C9">
        <w:rPr>
          <w:rFonts w:ascii="Times New Roman" w:hAnsi="Times New Roman"/>
          <w:sz w:val="24"/>
          <w:szCs w:val="24"/>
          <w:lang w:val="pt-BR"/>
        </w:rPr>
        <w:t xml:space="preserve"> </w:t>
      </w:r>
      <w:r w:rsidR="002A73EA" w:rsidRPr="00A232C9">
        <w:rPr>
          <w:rFonts w:ascii="Times New Roman" w:hAnsi="Times New Roman"/>
          <w:sz w:val="24"/>
          <w:szCs w:val="24"/>
          <w:lang w:val="pt-BR"/>
        </w:rPr>
        <w:t xml:space="preserve">a redução da probabilidade de uma empresa aplicar o valor justo se pertence ao setor de telecomunicações. </w:t>
      </w:r>
    </w:p>
    <w:p w14:paraId="0DB5CE4C" w14:textId="291697F7" w:rsidR="00A00E5E" w:rsidRPr="00A232C9" w:rsidRDefault="00E4373D" w:rsidP="008E7DAE">
      <w:pPr>
        <w:spacing w:after="0" w:line="240" w:lineRule="auto"/>
        <w:jc w:val="both"/>
        <w:rPr>
          <w:rFonts w:ascii="Times New Roman" w:hAnsi="Times New Roman"/>
          <w:sz w:val="24"/>
          <w:szCs w:val="24"/>
          <w:lang w:val="pt-BR"/>
        </w:rPr>
      </w:pPr>
      <w:r w:rsidRPr="00A232C9">
        <w:rPr>
          <w:rFonts w:ascii="Times New Roman" w:hAnsi="Times New Roman"/>
          <w:sz w:val="24"/>
          <w:szCs w:val="24"/>
          <w:lang w:val="pt-BR"/>
        </w:rPr>
        <w:tab/>
      </w:r>
      <w:r w:rsidR="000D55C2">
        <w:rPr>
          <w:rFonts w:ascii="Times New Roman" w:hAnsi="Times New Roman"/>
          <w:sz w:val="24"/>
          <w:szCs w:val="24"/>
          <w:lang w:val="pt-BR"/>
        </w:rPr>
        <w:t>Por meio</w:t>
      </w:r>
      <w:r w:rsidR="00FA2F22" w:rsidRPr="00A232C9">
        <w:rPr>
          <w:rFonts w:ascii="Times New Roman" w:hAnsi="Times New Roman"/>
          <w:sz w:val="24"/>
          <w:szCs w:val="24"/>
          <w:lang w:val="pt-BR"/>
        </w:rPr>
        <w:t xml:space="preserve"> da investigação do objetivo espec</w:t>
      </w:r>
      <w:r w:rsidR="00251E69" w:rsidRPr="00A232C9">
        <w:rPr>
          <w:rFonts w:ascii="Times New Roman" w:hAnsi="Times New Roman"/>
          <w:sz w:val="24"/>
          <w:szCs w:val="24"/>
          <w:lang w:val="pt-BR"/>
        </w:rPr>
        <w:t xml:space="preserve">ífico (ii), constatou-se </w:t>
      </w:r>
      <w:r w:rsidR="00DD1980" w:rsidRPr="00A232C9">
        <w:rPr>
          <w:rFonts w:ascii="Times New Roman" w:hAnsi="Times New Roman"/>
          <w:sz w:val="24"/>
          <w:szCs w:val="24"/>
          <w:lang w:val="pt-BR"/>
        </w:rPr>
        <w:t xml:space="preserve">que, dentre as 36 empresas pertencentes à amostra que </w:t>
      </w:r>
      <w:r w:rsidR="00362E25" w:rsidRPr="00A232C9">
        <w:rPr>
          <w:rFonts w:ascii="Times New Roman" w:hAnsi="Times New Roman"/>
          <w:sz w:val="24"/>
          <w:szCs w:val="24"/>
          <w:lang w:val="pt-BR"/>
        </w:rPr>
        <w:t xml:space="preserve">aplicaram </w:t>
      </w:r>
      <w:r w:rsidR="00DD1980" w:rsidRPr="00A232C9">
        <w:rPr>
          <w:rFonts w:ascii="Times New Roman" w:hAnsi="Times New Roman"/>
          <w:sz w:val="24"/>
          <w:szCs w:val="24"/>
          <w:lang w:val="pt-BR"/>
        </w:rPr>
        <w:t>o método de custo</w:t>
      </w:r>
      <w:r w:rsidR="00362E25" w:rsidRPr="00A232C9">
        <w:rPr>
          <w:rFonts w:ascii="Times New Roman" w:hAnsi="Times New Roman"/>
          <w:sz w:val="24"/>
          <w:szCs w:val="24"/>
          <w:lang w:val="pt-BR"/>
        </w:rPr>
        <w:t xml:space="preserve"> na mensuração das </w:t>
      </w:r>
      <w:r w:rsidR="002E6B3A">
        <w:rPr>
          <w:rFonts w:ascii="Times New Roman" w:hAnsi="Times New Roman"/>
          <w:sz w:val="24"/>
          <w:szCs w:val="24"/>
          <w:lang w:val="pt-BR"/>
        </w:rPr>
        <w:t>PPI</w:t>
      </w:r>
      <w:r w:rsidR="00DD1980" w:rsidRPr="00A232C9">
        <w:rPr>
          <w:rFonts w:ascii="Times New Roman" w:hAnsi="Times New Roman"/>
          <w:sz w:val="24"/>
          <w:szCs w:val="24"/>
          <w:lang w:val="pt-BR"/>
        </w:rPr>
        <w:t xml:space="preserve">, 58% divulgaram o valor justo </w:t>
      </w:r>
      <w:r w:rsidR="00362E25" w:rsidRPr="00A232C9">
        <w:rPr>
          <w:rFonts w:ascii="Times New Roman" w:hAnsi="Times New Roman"/>
          <w:sz w:val="24"/>
          <w:szCs w:val="24"/>
          <w:lang w:val="pt-BR"/>
        </w:rPr>
        <w:t>para atender à finalidade de divulgação prevista no CPC 28 (2009)</w:t>
      </w:r>
      <w:r w:rsidR="00DD1980" w:rsidRPr="00A232C9">
        <w:rPr>
          <w:rFonts w:ascii="Times New Roman" w:hAnsi="Times New Roman"/>
          <w:sz w:val="24"/>
          <w:szCs w:val="24"/>
          <w:lang w:val="pt-BR"/>
        </w:rPr>
        <w:t xml:space="preserve">. </w:t>
      </w:r>
      <w:r w:rsidR="00B5303F" w:rsidRPr="00A232C9">
        <w:rPr>
          <w:rFonts w:ascii="Times New Roman" w:hAnsi="Times New Roman"/>
          <w:sz w:val="24"/>
          <w:szCs w:val="24"/>
          <w:lang w:val="pt-BR"/>
        </w:rPr>
        <w:t xml:space="preserve">As empresas dos setores de Bens Industriais, Materiais Básicos, Saúde, Tecnologia da Informação e Telecomunicações atenderam 100% </w:t>
      </w:r>
      <w:r w:rsidR="00251E69" w:rsidRPr="00A232C9">
        <w:rPr>
          <w:rFonts w:ascii="Times New Roman" w:hAnsi="Times New Roman"/>
          <w:sz w:val="24"/>
          <w:szCs w:val="24"/>
          <w:lang w:val="pt-BR"/>
        </w:rPr>
        <w:t>à finalidade de divulgação do valor justo</w:t>
      </w:r>
      <w:r w:rsidR="00B5303F" w:rsidRPr="00A232C9">
        <w:rPr>
          <w:rFonts w:ascii="Times New Roman" w:hAnsi="Times New Roman"/>
          <w:sz w:val="24"/>
          <w:szCs w:val="24"/>
          <w:lang w:val="pt-BR"/>
        </w:rPr>
        <w:t xml:space="preserve">, enquanto que as empresas do setor de Consumo Cíclico foram as que apresentaram menor índice de divulgação (20%). </w:t>
      </w:r>
      <w:r w:rsidR="00927787" w:rsidRPr="00A232C9">
        <w:rPr>
          <w:rFonts w:ascii="Times New Roman" w:hAnsi="Times New Roman"/>
          <w:sz w:val="24"/>
          <w:szCs w:val="24"/>
          <w:lang w:val="pt-BR"/>
        </w:rPr>
        <w:t>Desta forma, o</w:t>
      </w:r>
      <w:r w:rsidR="00B5303F" w:rsidRPr="00A232C9">
        <w:rPr>
          <w:rFonts w:ascii="Times New Roman" w:hAnsi="Times New Roman"/>
          <w:sz w:val="24"/>
          <w:szCs w:val="24"/>
          <w:lang w:val="pt-BR"/>
        </w:rPr>
        <w:t xml:space="preserve">s dados </w:t>
      </w:r>
      <w:r w:rsidR="00927787" w:rsidRPr="00A232C9">
        <w:rPr>
          <w:rFonts w:ascii="Times New Roman" w:hAnsi="Times New Roman"/>
          <w:sz w:val="24"/>
          <w:szCs w:val="24"/>
          <w:lang w:val="pt-BR"/>
        </w:rPr>
        <w:t>são</w:t>
      </w:r>
      <w:r w:rsidR="00B5303F" w:rsidRPr="00A232C9">
        <w:rPr>
          <w:rFonts w:ascii="Times New Roman" w:hAnsi="Times New Roman"/>
          <w:sz w:val="24"/>
          <w:szCs w:val="24"/>
          <w:lang w:val="pt-BR"/>
        </w:rPr>
        <w:t xml:space="preserve"> próximos aos encontrados </w:t>
      </w:r>
      <w:r w:rsidR="007B2E40">
        <w:rPr>
          <w:rFonts w:ascii="Times New Roman" w:hAnsi="Times New Roman"/>
          <w:sz w:val="24"/>
          <w:szCs w:val="24"/>
          <w:lang w:val="pt-BR"/>
        </w:rPr>
        <w:t>por</w:t>
      </w:r>
      <w:r w:rsidR="00B5303F" w:rsidRPr="00A232C9">
        <w:rPr>
          <w:rFonts w:ascii="Times New Roman" w:hAnsi="Times New Roman"/>
          <w:sz w:val="24"/>
          <w:szCs w:val="24"/>
          <w:lang w:val="pt-BR"/>
        </w:rPr>
        <w:t xml:space="preserve"> Botinha e Lemes (2016), na qual 55% das empresas respeitaram à finalidade de divulgação do valor </w:t>
      </w:r>
      <w:r w:rsidR="00B5303F" w:rsidRPr="00A232C9">
        <w:rPr>
          <w:rFonts w:ascii="Times New Roman" w:hAnsi="Times New Roman"/>
          <w:sz w:val="24"/>
          <w:szCs w:val="24"/>
          <w:lang w:val="pt-BR"/>
        </w:rPr>
        <w:lastRenderedPageBreak/>
        <w:t>justo. Costa</w:t>
      </w:r>
      <w:r w:rsidR="002153CA">
        <w:rPr>
          <w:rFonts w:ascii="Times New Roman" w:hAnsi="Times New Roman"/>
          <w:sz w:val="24"/>
          <w:szCs w:val="24"/>
          <w:lang w:val="pt-BR"/>
        </w:rPr>
        <w:t xml:space="preserve">, Silva e Laurencel </w:t>
      </w:r>
      <w:r w:rsidR="003761F8" w:rsidRPr="00A232C9">
        <w:rPr>
          <w:rFonts w:ascii="Times New Roman" w:hAnsi="Times New Roman"/>
          <w:sz w:val="24"/>
          <w:szCs w:val="24"/>
          <w:lang w:val="pt-BR"/>
        </w:rPr>
        <w:t>(2013) concluíram</w:t>
      </w:r>
      <w:r w:rsidR="00B5303F" w:rsidRPr="00A232C9">
        <w:rPr>
          <w:rFonts w:ascii="Times New Roman" w:hAnsi="Times New Roman"/>
          <w:sz w:val="24"/>
          <w:szCs w:val="24"/>
          <w:lang w:val="pt-BR"/>
        </w:rPr>
        <w:t xml:space="preserve"> que 68% das empresas optantes pelo método de custo divulgaram o valor justo, um índice maior do que o verificado nest</w:t>
      </w:r>
      <w:r w:rsidR="00927787" w:rsidRPr="00A232C9">
        <w:rPr>
          <w:rFonts w:ascii="Times New Roman" w:hAnsi="Times New Roman"/>
          <w:sz w:val="24"/>
          <w:szCs w:val="24"/>
          <w:lang w:val="pt-BR"/>
        </w:rPr>
        <w:t>e estudo.</w:t>
      </w:r>
    </w:p>
    <w:p w14:paraId="48D1AF9B" w14:textId="3E5ADBAB" w:rsidR="00CD5F9F" w:rsidRPr="00CD5F9F" w:rsidRDefault="00315B08" w:rsidP="00CD5F9F">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Para </w:t>
      </w:r>
      <w:r w:rsidR="000D55C2">
        <w:rPr>
          <w:rFonts w:ascii="Times New Roman" w:hAnsi="Times New Roman"/>
          <w:sz w:val="24"/>
          <w:szCs w:val="24"/>
          <w:lang w:val="pt-BR"/>
        </w:rPr>
        <w:t>atingir</w:t>
      </w:r>
      <w:r w:rsidRPr="00A232C9">
        <w:rPr>
          <w:rFonts w:ascii="Times New Roman" w:hAnsi="Times New Roman"/>
          <w:sz w:val="24"/>
          <w:szCs w:val="24"/>
          <w:lang w:val="pt-BR"/>
        </w:rPr>
        <w:t xml:space="preserve"> ao</w:t>
      </w:r>
      <w:r w:rsidR="00927787" w:rsidRPr="00A232C9">
        <w:rPr>
          <w:rFonts w:ascii="Times New Roman" w:hAnsi="Times New Roman"/>
          <w:sz w:val="24"/>
          <w:szCs w:val="24"/>
          <w:lang w:val="pt-BR"/>
        </w:rPr>
        <w:t xml:space="preserve"> objetivo específico (iii)</w:t>
      </w:r>
      <w:r w:rsidRPr="00A232C9">
        <w:rPr>
          <w:rFonts w:ascii="Times New Roman" w:hAnsi="Times New Roman"/>
          <w:sz w:val="24"/>
          <w:szCs w:val="24"/>
          <w:lang w:val="pt-BR"/>
        </w:rPr>
        <w:t>, ou seja, analisar o nível de comparabilidade das companhias abertas listadas na BM&amp;FBOVESPA, foram utilizadas as três abordagens do índice T de harmonia proposto por Taplin (2004)</w:t>
      </w:r>
      <w:r w:rsidR="001D130B" w:rsidRPr="00A232C9">
        <w:rPr>
          <w:rFonts w:ascii="Times New Roman" w:hAnsi="Times New Roman"/>
          <w:sz w:val="24"/>
          <w:szCs w:val="24"/>
          <w:lang w:val="pt-BR"/>
        </w:rPr>
        <w:t xml:space="preserve"> e duas abordagens do índice H introduzido por Van der Tas (1988)</w:t>
      </w:r>
      <w:r w:rsidRPr="00A232C9">
        <w:rPr>
          <w:rFonts w:ascii="Times New Roman" w:hAnsi="Times New Roman"/>
          <w:sz w:val="24"/>
          <w:szCs w:val="24"/>
          <w:lang w:val="pt-BR"/>
        </w:rPr>
        <w:t>. A amostra em geral apresentou um nível médio de comparabilidade na primeira abordagem</w:t>
      </w:r>
      <w:r w:rsidR="001D130B" w:rsidRPr="00A232C9">
        <w:rPr>
          <w:rFonts w:ascii="Times New Roman" w:hAnsi="Times New Roman"/>
          <w:sz w:val="24"/>
          <w:szCs w:val="24"/>
          <w:lang w:val="pt-BR"/>
        </w:rPr>
        <w:t xml:space="preserve"> dos dois índices</w:t>
      </w:r>
      <w:r w:rsidRPr="00A232C9">
        <w:rPr>
          <w:rFonts w:ascii="Times New Roman" w:hAnsi="Times New Roman"/>
          <w:sz w:val="24"/>
          <w:szCs w:val="24"/>
          <w:lang w:val="pt-BR"/>
        </w:rPr>
        <w:t xml:space="preserve">, que desconsidera as empresas que não divulgaram o método, porém com valor bem próximo a um nível baixo. A interpretação de T1 </w:t>
      </w:r>
      <w:r w:rsidR="001D130B" w:rsidRPr="00A232C9">
        <w:rPr>
          <w:rFonts w:ascii="Times New Roman" w:hAnsi="Times New Roman"/>
          <w:sz w:val="24"/>
          <w:szCs w:val="24"/>
          <w:lang w:val="pt-BR"/>
        </w:rPr>
        <w:t xml:space="preserve">e H1 </w:t>
      </w:r>
      <w:r w:rsidRPr="00A232C9">
        <w:rPr>
          <w:rFonts w:ascii="Times New Roman" w:hAnsi="Times New Roman"/>
          <w:sz w:val="24"/>
          <w:szCs w:val="24"/>
          <w:lang w:val="pt-BR"/>
        </w:rPr>
        <w:t xml:space="preserve">(0,50) pode ser feita de maneira que, se duas empresas forem selecionadas aleatoriamente, existe 50% de chance de elas adotarem o mesmo método contábil. </w:t>
      </w:r>
      <w:r w:rsidR="003761F8" w:rsidRPr="00A232C9">
        <w:rPr>
          <w:rFonts w:ascii="Times New Roman" w:hAnsi="Times New Roman"/>
          <w:sz w:val="24"/>
          <w:szCs w:val="24"/>
          <w:lang w:val="pt-BR"/>
        </w:rPr>
        <w:t>Com relação à</w:t>
      </w:r>
      <w:r w:rsidRPr="00A232C9">
        <w:rPr>
          <w:rFonts w:ascii="Times New Roman" w:hAnsi="Times New Roman"/>
          <w:sz w:val="24"/>
          <w:szCs w:val="24"/>
          <w:lang w:val="pt-BR"/>
        </w:rPr>
        <w:t xml:space="preserve"> segunda abordagem</w:t>
      </w:r>
      <w:r w:rsidR="001D130B" w:rsidRPr="00A232C9">
        <w:rPr>
          <w:rFonts w:ascii="Times New Roman" w:hAnsi="Times New Roman"/>
          <w:sz w:val="24"/>
          <w:szCs w:val="24"/>
          <w:lang w:val="pt-BR"/>
        </w:rPr>
        <w:t xml:space="preserve"> do índice T</w:t>
      </w:r>
      <w:r w:rsidRPr="00A232C9">
        <w:rPr>
          <w:rFonts w:ascii="Times New Roman" w:hAnsi="Times New Roman"/>
          <w:sz w:val="24"/>
          <w:szCs w:val="24"/>
          <w:lang w:val="pt-BR"/>
        </w:rPr>
        <w:t xml:space="preserve">, que inclui todas empresas, </w:t>
      </w:r>
      <w:r w:rsidR="003761F8" w:rsidRPr="00A232C9">
        <w:rPr>
          <w:rFonts w:ascii="Times New Roman" w:hAnsi="Times New Roman"/>
          <w:sz w:val="24"/>
          <w:szCs w:val="24"/>
          <w:lang w:val="pt-BR"/>
        </w:rPr>
        <w:t>registrou-se uma</w:t>
      </w:r>
      <w:r w:rsidRPr="00A232C9">
        <w:rPr>
          <w:rFonts w:ascii="Times New Roman" w:hAnsi="Times New Roman"/>
          <w:sz w:val="24"/>
          <w:szCs w:val="24"/>
          <w:lang w:val="pt-BR"/>
        </w:rPr>
        <w:t xml:space="preserve"> comparabilidade alta e a ter</w:t>
      </w:r>
      <w:r w:rsidR="001D130B" w:rsidRPr="00A232C9">
        <w:rPr>
          <w:rFonts w:ascii="Times New Roman" w:hAnsi="Times New Roman"/>
          <w:sz w:val="24"/>
          <w:szCs w:val="24"/>
          <w:lang w:val="pt-BR"/>
        </w:rPr>
        <w:t>ceira uma comparabilidade baixa. Quanto a segund</w:t>
      </w:r>
      <w:r w:rsidR="000D55C2">
        <w:rPr>
          <w:rFonts w:ascii="Times New Roman" w:hAnsi="Times New Roman"/>
          <w:sz w:val="24"/>
          <w:szCs w:val="24"/>
          <w:lang w:val="pt-BR"/>
        </w:rPr>
        <w:t>a abordagem do índice H, foi r</w:t>
      </w:r>
      <w:r w:rsidR="001D130B" w:rsidRPr="00A232C9">
        <w:rPr>
          <w:rFonts w:ascii="Times New Roman" w:hAnsi="Times New Roman"/>
          <w:sz w:val="24"/>
          <w:szCs w:val="24"/>
          <w:lang w:val="pt-BR"/>
        </w:rPr>
        <w:t>ev</w:t>
      </w:r>
      <w:r w:rsidR="000D55C2">
        <w:rPr>
          <w:rFonts w:ascii="Times New Roman" w:hAnsi="Times New Roman"/>
          <w:sz w:val="24"/>
          <w:szCs w:val="24"/>
          <w:lang w:val="pt-BR"/>
        </w:rPr>
        <w:t>ela</w:t>
      </w:r>
      <w:r w:rsidR="001D130B" w:rsidRPr="00A232C9">
        <w:rPr>
          <w:rFonts w:ascii="Times New Roman" w:hAnsi="Times New Roman"/>
          <w:sz w:val="24"/>
          <w:szCs w:val="24"/>
          <w:lang w:val="pt-BR"/>
        </w:rPr>
        <w:t>do uma comparabilidade baixa.</w:t>
      </w:r>
      <w:r w:rsidRPr="00A232C9">
        <w:rPr>
          <w:rFonts w:ascii="Times New Roman" w:hAnsi="Times New Roman"/>
          <w:sz w:val="24"/>
          <w:szCs w:val="24"/>
          <w:lang w:val="pt-BR"/>
        </w:rPr>
        <w:t xml:space="preserve"> O estudo corrobora a pesquisa de Souza</w:t>
      </w:r>
      <w:r w:rsidR="001623A0" w:rsidRPr="00A232C9">
        <w:rPr>
          <w:rFonts w:ascii="Times New Roman" w:hAnsi="Times New Roman"/>
          <w:sz w:val="24"/>
          <w:szCs w:val="24"/>
          <w:lang w:val="pt-BR"/>
        </w:rPr>
        <w:t xml:space="preserve"> </w:t>
      </w:r>
      <w:r w:rsidR="001623A0" w:rsidRPr="00A232C9">
        <w:rPr>
          <w:rFonts w:ascii="Times New Roman" w:hAnsi="Times New Roman"/>
          <w:i/>
          <w:sz w:val="24"/>
          <w:szCs w:val="24"/>
          <w:lang w:val="pt-BR"/>
        </w:rPr>
        <w:t>et al.</w:t>
      </w:r>
      <w:r w:rsidRPr="00A232C9">
        <w:rPr>
          <w:rFonts w:ascii="Times New Roman" w:hAnsi="Times New Roman"/>
          <w:sz w:val="24"/>
          <w:szCs w:val="24"/>
          <w:lang w:val="pt-BR"/>
        </w:rPr>
        <w:t xml:space="preserve"> (2015)</w:t>
      </w:r>
      <w:r w:rsidR="003A6520" w:rsidRPr="00A232C9">
        <w:rPr>
          <w:rFonts w:ascii="Times New Roman" w:hAnsi="Times New Roman"/>
          <w:sz w:val="24"/>
          <w:szCs w:val="24"/>
          <w:lang w:val="pt-BR"/>
        </w:rPr>
        <w:t xml:space="preserve"> que verificou um grau médio de comparabilidade nas empresas brasileiras quanto à mensuração das </w:t>
      </w:r>
      <w:r w:rsidR="002E6B3A">
        <w:rPr>
          <w:rFonts w:ascii="Times New Roman" w:hAnsi="Times New Roman"/>
          <w:sz w:val="24"/>
          <w:szCs w:val="24"/>
          <w:lang w:val="pt-BR"/>
        </w:rPr>
        <w:t>PPI</w:t>
      </w:r>
      <w:r w:rsidR="003A6520" w:rsidRPr="00CD5F9F">
        <w:rPr>
          <w:rFonts w:ascii="Times New Roman" w:hAnsi="Times New Roman"/>
          <w:sz w:val="24"/>
          <w:szCs w:val="24"/>
          <w:lang w:val="pt-BR"/>
        </w:rPr>
        <w:t>.</w:t>
      </w:r>
      <w:r w:rsidR="00CD5F9F" w:rsidRPr="00CD5F9F">
        <w:rPr>
          <w:rFonts w:ascii="Times New Roman" w:hAnsi="Times New Roman"/>
          <w:sz w:val="24"/>
          <w:szCs w:val="24"/>
          <w:lang w:val="pt-BR"/>
        </w:rPr>
        <w:t xml:space="preserve"> Destaca-se que para a presente pesquisa, como não se busca verificar o nível de comparabilidade entre países, o índice H fornece os subsídios necessários.</w:t>
      </w:r>
    </w:p>
    <w:p w14:paraId="37FD74E9" w14:textId="7742203B" w:rsidR="00251E69" w:rsidRPr="00A232C9" w:rsidRDefault="00761641" w:rsidP="00CD5F9F">
      <w:pPr>
        <w:spacing w:after="0" w:line="240" w:lineRule="auto"/>
        <w:ind w:firstLine="567"/>
        <w:jc w:val="both"/>
        <w:rPr>
          <w:rFonts w:ascii="Times New Roman" w:hAnsi="Times New Roman"/>
          <w:sz w:val="24"/>
          <w:szCs w:val="24"/>
          <w:lang w:val="pt-BR"/>
        </w:rPr>
      </w:pPr>
      <w:r>
        <w:rPr>
          <w:rFonts w:ascii="Times New Roman" w:hAnsi="Times New Roman"/>
          <w:sz w:val="24"/>
          <w:szCs w:val="24"/>
          <w:lang w:val="pt-BR"/>
        </w:rPr>
        <w:t>Conclui-se que</w:t>
      </w:r>
      <w:r w:rsidR="003A6520" w:rsidRPr="00CD5F9F">
        <w:rPr>
          <w:rFonts w:ascii="Times New Roman" w:hAnsi="Times New Roman"/>
          <w:sz w:val="24"/>
          <w:szCs w:val="24"/>
          <w:lang w:val="pt-BR"/>
        </w:rPr>
        <w:t>, apesar da adoção</w:t>
      </w:r>
      <w:r w:rsidR="003A6520" w:rsidRPr="00A232C9">
        <w:rPr>
          <w:rFonts w:ascii="Times New Roman" w:hAnsi="Times New Roman"/>
          <w:sz w:val="24"/>
          <w:szCs w:val="24"/>
          <w:lang w:val="pt-BR"/>
        </w:rPr>
        <w:t xml:space="preserve"> das normas internacionais IFRS no Brasil </w:t>
      </w:r>
      <w:r w:rsidR="00251E69" w:rsidRPr="00A232C9">
        <w:rPr>
          <w:rFonts w:ascii="Times New Roman" w:hAnsi="Times New Roman"/>
          <w:sz w:val="24"/>
          <w:szCs w:val="24"/>
          <w:lang w:val="pt-BR"/>
        </w:rPr>
        <w:t xml:space="preserve">por meio </w:t>
      </w:r>
      <w:r w:rsidR="003A6520" w:rsidRPr="00A232C9">
        <w:rPr>
          <w:rFonts w:ascii="Times New Roman" w:hAnsi="Times New Roman"/>
          <w:sz w:val="24"/>
          <w:szCs w:val="24"/>
          <w:lang w:val="pt-BR"/>
        </w:rPr>
        <w:t xml:space="preserve">da Lei 11.638/2007 e do processo de harmonização dos padrões contábeis, algumas empresas pertencentes a BM&amp;FBOVESPA ainda não respeitam o </w:t>
      </w:r>
      <w:r w:rsidR="00251E69" w:rsidRPr="00A232C9">
        <w:rPr>
          <w:rFonts w:ascii="Times New Roman" w:hAnsi="Times New Roman"/>
          <w:sz w:val="24"/>
          <w:szCs w:val="24"/>
          <w:lang w:val="pt-BR"/>
        </w:rPr>
        <w:t>Pronunciamento Técnico 28</w:t>
      </w:r>
      <w:r w:rsidR="003A6520" w:rsidRPr="00A232C9">
        <w:rPr>
          <w:rFonts w:ascii="Times New Roman" w:hAnsi="Times New Roman"/>
          <w:sz w:val="24"/>
          <w:szCs w:val="24"/>
          <w:lang w:val="pt-BR"/>
        </w:rPr>
        <w:t xml:space="preserve"> (2009) em sua totalidade, não divulgando o método de mensuração das </w:t>
      </w:r>
      <w:r w:rsidR="002E6B3A">
        <w:rPr>
          <w:rFonts w:ascii="Times New Roman" w:hAnsi="Times New Roman"/>
          <w:sz w:val="24"/>
          <w:szCs w:val="24"/>
          <w:lang w:val="pt-BR"/>
        </w:rPr>
        <w:t>PPI</w:t>
      </w:r>
      <w:r w:rsidR="003A6520" w:rsidRPr="00A232C9">
        <w:rPr>
          <w:rFonts w:ascii="Times New Roman" w:hAnsi="Times New Roman"/>
          <w:sz w:val="24"/>
          <w:szCs w:val="24"/>
          <w:lang w:val="pt-BR"/>
        </w:rPr>
        <w:t xml:space="preserve"> ou até mesmo não atendendo à finalidade de divulgação do valor justo. </w:t>
      </w:r>
      <w:r w:rsidR="00251E69" w:rsidRPr="00A232C9">
        <w:rPr>
          <w:rFonts w:ascii="Times New Roman" w:hAnsi="Times New Roman"/>
          <w:sz w:val="24"/>
          <w:szCs w:val="24"/>
          <w:lang w:val="pt-BR"/>
        </w:rPr>
        <w:t>Além disso, alguns setores apresentaram um nível alto de comparabilidade observado pelo índice T porém os dois setores com maior número de empresas apresentaram um nível médio muito próximo a um nível baixo.</w:t>
      </w:r>
    </w:p>
    <w:p w14:paraId="117AE69D" w14:textId="23A93F2E" w:rsidR="003A6520" w:rsidRPr="00A232C9" w:rsidRDefault="00925A04"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Nesse aspecto</w:t>
      </w:r>
      <w:r w:rsidR="003A6520" w:rsidRPr="00A232C9">
        <w:rPr>
          <w:rFonts w:ascii="Times New Roman" w:hAnsi="Times New Roman"/>
          <w:sz w:val="24"/>
          <w:szCs w:val="24"/>
          <w:lang w:val="pt-BR"/>
        </w:rPr>
        <w:t xml:space="preserve">, concordando com </w:t>
      </w:r>
      <w:r w:rsidR="00101571" w:rsidRPr="00A232C9">
        <w:rPr>
          <w:rFonts w:ascii="Times New Roman" w:hAnsi="Times New Roman"/>
          <w:sz w:val="24"/>
          <w:szCs w:val="24"/>
          <w:lang w:val="pt-BR"/>
        </w:rPr>
        <w:t xml:space="preserve">o estudo de </w:t>
      </w:r>
      <w:r w:rsidR="003A6520" w:rsidRPr="00A232C9">
        <w:rPr>
          <w:rFonts w:ascii="Times New Roman" w:hAnsi="Times New Roman"/>
          <w:sz w:val="24"/>
          <w:szCs w:val="24"/>
          <w:lang w:val="pt-BR"/>
        </w:rPr>
        <w:t>Costa</w:t>
      </w:r>
      <w:r w:rsidR="002153CA">
        <w:rPr>
          <w:rFonts w:ascii="Times New Roman" w:hAnsi="Times New Roman"/>
          <w:sz w:val="24"/>
          <w:szCs w:val="24"/>
          <w:lang w:val="pt-BR"/>
        </w:rPr>
        <w:t xml:space="preserve">, Silva e Laurencel </w:t>
      </w:r>
      <w:r w:rsidR="003A6520" w:rsidRPr="00A232C9">
        <w:rPr>
          <w:rFonts w:ascii="Times New Roman" w:hAnsi="Times New Roman"/>
          <w:sz w:val="24"/>
          <w:szCs w:val="24"/>
          <w:lang w:val="pt-BR"/>
        </w:rPr>
        <w:t xml:space="preserve">(2013), identifica-se um problema de comparabilidade das informações contábeis </w:t>
      </w:r>
      <w:r w:rsidR="00B8417A" w:rsidRPr="00A232C9">
        <w:rPr>
          <w:rFonts w:ascii="Times New Roman" w:hAnsi="Times New Roman"/>
          <w:sz w:val="24"/>
          <w:szCs w:val="24"/>
          <w:lang w:val="pt-BR"/>
        </w:rPr>
        <w:t xml:space="preserve">uma vez que </w:t>
      </w:r>
      <w:r w:rsidR="003A6520" w:rsidRPr="00A232C9">
        <w:rPr>
          <w:rFonts w:ascii="Times New Roman" w:hAnsi="Times New Roman"/>
          <w:sz w:val="24"/>
          <w:szCs w:val="24"/>
          <w:lang w:val="pt-BR"/>
        </w:rPr>
        <w:t>o nível de conformidade de divulgação conforme o CPC 28 (2009) ainda não atingiu sua totalidade e empresas de mesmos setores apresentam diferentes escolhas contábeis na mensuração das PPI.</w:t>
      </w:r>
      <w:r w:rsidR="00101571" w:rsidRPr="00A232C9">
        <w:rPr>
          <w:rFonts w:ascii="Times New Roman" w:hAnsi="Times New Roman"/>
          <w:sz w:val="24"/>
          <w:szCs w:val="24"/>
          <w:lang w:val="pt-BR"/>
        </w:rPr>
        <w:t xml:space="preserve"> Além disso, assim como destacado no estudo de Silva</w:t>
      </w:r>
      <w:r w:rsidR="002153CA">
        <w:rPr>
          <w:rFonts w:ascii="Times New Roman" w:hAnsi="Times New Roman"/>
          <w:sz w:val="24"/>
          <w:szCs w:val="24"/>
          <w:lang w:val="pt-BR"/>
        </w:rPr>
        <w:t xml:space="preserve">, Fonseca e Nogueira </w:t>
      </w:r>
      <w:r w:rsidR="00101571" w:rsidRPr="00A232C9">
        <w:rPr>
          <w:rFonts w:ascii="Times New Roman" w:hAnsi="Times New Roman"/>
          <w:sz w:val="24"/>
          <w:szCs w:val="24"/>
          <w:lang w:val="pt-BR"/>
        </w:rPr>
        <w:t>(2014) foram encontradas dificuldades de evidenciação destas propriedades em Demonstrações e Notas Explicativas prejudicando a tomada de decisão de usu</w:t>
      </w:r>
      <w:r w:rsidR="00251E69" w:rsidRPr="00A232C9">
        <w:rPr>
          <w:rFonts w:ascii="Times New Roman" w:hAnsi="Times New Roman"/>
          <w:sz w:val="24"/>
          <w:szCs w:val="24"/>
          <w:lang w:val="pt-BR"/>
        </w:rPr>
        <w:t>ários da informação contábil.</w:t>
      </w:r>
    </w:p>
    <w:p w14:paraId="32EDD1F4" w14:textId="164324BB" w:rsidR="003A6520" w:rsidRDefault="003A6520" w:rsidP="008E7DAE">
      <w:pPr>
        <w:spacing w:after="0" w:line="240" w:lineRule="auto"/>
        <w:ind w:firstLine="567"/>
        <w:jc w:val="both"/>
        <w:rPr>
          <w:rFonts w:ascii="Times New Roman" w:hAnsi="Times New Roman"/>
          <w:sz w:val="24"/>
          <w:szCs w:val="24"/>
          <w:lang w:val="pt-BR"/>
        </w:rPr>
      </w:pPr>
      <w:r w:rsidRPr="00A232C9">
        <w:rPr>
          <w:rFonts w:ascii="Times New Roman" w:hAnsi="Times New Roman"/>
          <w:sz w:val="24"/>
          <w:szCs w:val="24"/>
          <w:lang w:val="pt-BR"/>
        </w:rPr>
        <w:t xml:space="preserve">O artigo apresentou como limitações o ano em que foram analisadas as Demonstrações Financeiras Padronizadas das empresas da BM&amp;FBOVESPA (2015), a aplicação </w:t>
      </w:r>
      <w:r w:rsidR="0041471D" w:rsidRPr="00A232C9">
        <w:rPr>
          <w:rFonts w:ascii="Times New Roman" w:hAnsi="Times New Roman"/>
          <w:sz w:val="24"/>
          <w:szCs w:val="24"/>
          <w:lang w:val="pt-BR"/>
        </w:rPr>
        <w:t>de</w:t>
      </w:r>
      <w:r w:rsidRPr="00A232C9">
        <w:rPr>
          <w:rFonts w:ascii="Times New Roman" w:hAnsi="Times New Roman"/>
          <w:sz w:val="24"/>
          <w:szCs w:val="24"/>
          <w:lang w:val="pt-BR"/>
        </w:rPr>
        <w:t xml:space="preserve"> </w:t>
      </w:r>
      <w:r w:rsidR="000F4451">
        <w:rPr>
          <w:rFonts w:ascii="Times New Roman" w:hAnsi="Times New Roman"/>
          <w:sz w:val="24"/>
          <w:szCs w:val="24"/>
          <w:lang w:val="pt-BR"/>
        </w:rPr>
        <w:t>dois</w:t>
      </w:r>
      <w:r w:rsidRPr="00A232C9">
        <w:rPr>
          <w:rFonts w:ascii="Times New Roman" w:hAnsi="Times New Roman"/>
          <w:sz w:val="24"/>
          <w:szCs w:val="24"/>
          <w:lang w:val="pt-BR"/>
        </w:rPr>
        <w:t xml:space="preserve"> índice</w:t>
      </w:r>
      <w:r w:rsidR="000F4451">
        <w:rPr>
          <w:rFonts w:ascii="Times New Roman" w:hAnsi="Times New Roman"/>
          <w:sz w:val="24"/>
          <w:szCs w:val="24"/>
          <w:lang w:val="pt-BR"/>
        </w:rPr>
        <w:t>s</w:t>
      </w:r>
      <w:r w:rsidRPr="00A232C9">
        <w:rPr>
          <w:rFonts w:ascii="Times New Roman" w:hAnsi="Times New Roman"/>
          <w:sz w:val="24"/>
          <w:szCs w:val="24"/>
          <w:lang w:val="pt-BR"/>
        </w:rPr>
        <w:t xml:space="preserve"> de comparabilidade</w:t>
      </w:r>
      <w:r w:rsidR="0041471D" w:rsidRPr="00A232C9">
        <w:rPr>
          <w:rFonts w:ascii="Times New Roman" w:hAnsi="Times New Roman"/>
          <w:sz w:val="24"/>
          <w:szCs w:val="24"/>
          <w:lang w:val="pt-BR"/>
        </w:rPr>
        <w:t xml:space="preserve"> e</w:t>
      </w:r>
      <w:r w:rsidRPr="00A232C9">
        <w:rPr>
          <w:rFonts w:ascii="Times New Roman" w:hAnsi="Times New Roman"/>
          <w:sz w:val="24"/>
          <w:szCs w:val="24"/>
          <w:lang w:val="pt-BR"/>
        </w:rPr>
        <w:t xml:space="preserve"> a verificação de apenas dois itens obrigatórios de divulgação conforme o CPC 28 (2009)</w:t>
      </w:r>
      <w:r w:rsidR="0041471D" w:rsidRPr="00A232C9">
        <w:rPr>
          <w:rFonts w:ascii="Times New Roman" w:hAnsi="Times New Roman"/>
          <w:sz w:val="24"/>
          <w:szCs w:val="24"/>
          <w:lang w:val="pt-BR"/>
        </w:rPr>
        <w:t>. Desta forma, recomenda-se para estudos posteriores a ampliação do período de estudo, a aplicação de out</w:t>
      </w:r>
      <w:r w:rsidR="000F4451">
        <w:rPr>
          <w:rFonts w:ascii="Times New Roman" w:hAnsi="Times New Roman"/>
          <w:sz w:val="24"/>
          <w:szCs w:val="24"/>
          <w:lang w:val="pt-BR"/>
        </w:rPr>
        <w:t>ros índices de comparabilidade</w:t>
      </w:r>
      <w:r w:rsidR="00016AAC">
        <w:rPr>
          <w:rFonts w:ascii="Times New Roman" w:hAnsi="Times New Roman"/>
          <w:sz w:val="24"/>
          <w:szCs w:val="24"/>
          <w:lang w:val="pt-BR"/>
        </w:rPr>
        <w:t xml:space="preserve"> ou modelos estatísticos</w:t>
      </w:r>
      <w:r w:rsidR="000F4451">
        <w:rPr>
          <w:rFonts w:ascii="Times New Roman" w:hAnsi="Times New Roman"/>
          <w:sz w:val="24"/>
          <w:szCs w:val="24"/>
          <w:lang w:val="pt-BR"/>
        </w:rPr>
        <w:t xml:space="preserve"> </w:t>
      </w:r>
      <w:r w:rsidR="0041471D" w:rsidRPr="00A232C9">
        <w:rPr>
          <w:rFonts w:ascii="Times New Roman" w:hAnsi="Times New Roman"/>
          <w:sz w:val="24"/>
          <w:szCs w:val="24"/>
          <w:lang w:val="pt-BR"/>
        </w:rPr>
        <w:t>e a verificação de outros itens obrigatórios para a conformidade segundo o CPC 28 (2009).</w:t>
      </w:r>
    </w:p>
    <w:p w14:paraId="53382E42" w14:textId="77777777" w:rsidR="008E7DAE" w:rsidRPr="00A232C9" w:rsidRDefault="008E7DAE" w:rsidP="008E7DAE">
      <w:pPr>
        <w:spacing w:after="0" w:line="240" w:lineRule="auto"/>
        <w:ind w:firstLine="567"/>
        <w:jc w:val="both"/>
        <w:rPr>
          <w:rFonts w:ascii="Times New Roman" w:hAnsi="Times New Roman"/>
          <w:sz w:val="24"/>
          <w:szCs w:val="24"/>
          <w:lang w:val="pt-BR"/>
        </w:rPr>
      </w:pPr>
    </w:p>
    <w:p w14:paraId="689C4AF7" w14:textId="77777777" w:rsidR="001E514A" w:rsidRPr="00A232C9" w:rsidRDefault="00EA44E4" w:rsidP="004C7095">
      <w:pPr>
        <w:spacing w:after="0" w:line="240" w:lineRule="auto"/>
        <w:jc w:val="center"/>
        <w:rPr>
          <w:rFonts w:ascii="Times New Roman" w:hAnsi="Times New Roman"/>
          <w:b/>
          <w:sz w:val="24"/>
          <w:szCs w:val="24"/>
          <w:lang w:val="pt-BR"/>
        </w:rPr>
      </w:pPr>
      <w:r w:rsidRPr="00A232C9">
        <w:rPr>
          <w:rFonts w:ascii="Times New Roman" w:hAnsi="Times New Roman"/>
          <w:b/>
          <w:sz w:val="24"/>
          <w:szCs w:val="24"/>
          <w:lang w:val="pt-BR"/>
        </w:rPr>
        <w:t>R</w:t>
      </w:r>
      <w:r w:rsidR="00634445" w:rsidRPr="00A232C9">
        <w:rPr>
          <w:rFonts w:ascii="Times New Roman" w:hAnsi="Times New Roman"/>
          <w:b/>
          <w:sz w:val="24"/>
          <w:szCs w:val="24"/>
          <w:lang w:val="pt-BR"/>
        </w:rPr>
        <w:t>EFERÊNCIAS</w:t>
      </w:r>
    </w:p>
    <w:p w14:paraId="3F86FB5C" w14:textId="77777777" w:rsidR="002A2FF6" w:rsidRDefault="002A2FF6" w:rsidP="008E7DAE">
      <w:pPr>
        <w:spacing w:after="0" w:line="240" w:lineRule="auto"/>
        <w:jc w:val="both"/>
        <w:rPr>
          <w:rFonts w:ascii="Times New Roman" w:hAnsi="Times New Roman"/>
          <w:color w:val="222222"/>
          <w:sz w:val="24"/>
          <w:szCs w:val="24"/>
          <w:shd w:val="clear" w:color="auto" w:fill="FFFFFF"/>
          <w:lang w:val="pt-BR"/>
        </w:rPr>
      </w:pPr>
    </w:p>
    <w:p w14:paraId="2299B416"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r w:rsidRPr="000D55C2">
        <w:rPr>
          <w:rFonts w:ascii="Times New Roman" w:hAnsi="Times New Roman"/>
          <w:color w:val="222222"/>
          <w:sz w:val="24"/>
          <w:szCs w:val="24"/>
          <w:shd w:val="clear" w:color="auto" w:fill="FFFFFF"/>
          <w:lang w:val="pt-BR"/>
        </w:rPr>
        <w:t>ANDRADE, M. E. M. C.; DA SILVA, D. M.; MALAQUIAS, R. F. Escolhas contábeis em propriedades para investimento.</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Universo Contábil</w:t>
      </w:r>
      <w:r w:rsidRPr="000D55C2">
        <w:rPr>
          <w:rFonts w:ascii="Times New Roman" w:hAnsi="Times New Roman"/>
          <w:color w:val="222222"/>
          <w:sz w:val="24"/>
          <w:szCs w:val="24"/>
          <w:shd w:val="clear" w:color="auto" w:fill="FFFFFF"/>
          <w:lang w:val="pt-BR"/>
        </w:rPr>
        <w:t>, v. 9, n. 3, p. 22-37, 2013.</w:t>
      </w:r>
    </w:p>
    <w:p w14:paraId="79C5BDB4" w14:textId="77777777" w:rsidR="00B25605" w:rsidRPr="000D55C2" w:rsidRDefault="00B25605" w:rsidP="008E7DAE">
      <w:pPr>
        <w:spacing w:after="0" w:line="240" w:lineRule="auto"/>
        <w:jc w:val="both"/>
        <w:rPr>
          <w:rFonts w:ascii="Times New Roman" w:hAnsi="Times New Roman"/>
          <w:sz w:val="24"/>
          <w:szCs w:val="24"/>
          <w:shd w:val="clear" w:color="auto" w:fill="FFFFFF"/>
          <w:lang w:val="pt-BR"/>
        </w:rPr>
      </w:pPr>
    </w:p>
    <w:p w14:paraId="7D9E6AA8"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r w:rsidRPr="000D55C2">
        <w:rPr>
          <w:rFonts w:ascii="Times New Roman" w:hAnsi="Times New Roman"/>
          <w:color w:val="222222"/>
          <w:sz w:val="24"/>
          <w:szCs w:val="24"/>
          <w:shd w:val="clear" w:color="auto" w:fill="FFFFFF"/>
          <w:lang w:val="pt-BR"/>
        </w:rPr>
        <w:t>ARAÚJO, T. S.; DE SOUZA, F. E. A.; LEMES, S. O Impacto das Escolhas Contábeis na Comparabilidade das Demonstrações Financeiras de Companhias Abertas com Programa de Fidelização de Clientes.</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REUNIR: Revista de Administração, Contabilidade e Sustentabilidade</w:t>
      </w:r>
      <w:r w:rsidRPr="000D55C2">
        <w:rPr>
          <w:rFonts w:ascii="Times New Roman" w:hAnsi="Times New Roman"/>
          <w:color w:val="222222"/>
          <w:sz w:val="24"/>
          <w:szCs w:val="24"/>
          <w:shd w:val="clear" w:color="auto" w:fill="FFFFFF"/>
          <w:lang w:val="pt-BR"/>
        </w:rPr>
        <w:t>, v. 5, n. 2, p. 43-61, 2015.</w:t>
      </w:r>
    </w:p>
    <w:p w14:paraId="320BA8AA" w14:textId="77777777" w:rsidR="00B25605" w:rsidRPr="000D55C2" w:rsidRDefault="00B25605" w:rsidP="008E7DAE">
      <w:pPr>
        <w:spacing w:after="0" w:line="240" w:lineRule="auto"/>
        <w:jc w:val="both"/>
        <w:rPr>
          <w:rFonts w:ascii="Times New Roman" w:hAnsi="Times New Roman"/>
          <w:sz w:val="24"/>
          <w:szCs w:val="24"/>
          <w:shd w:val="clear" w:color="auto" w:fill="FFFFFF"/>
          <w:lang w:val="pt-BR"/>
        </w:rPr>
      </w:pPr>
    </w:p>
    <w:p w14:paraId="416EB7DA"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r w:rsidRPr="000D55C2">
        <w:rPr>
          <w:rFonts w:ascii="Times New Roman" w:hAnsi="Times New Roman"/>
          <w:color w:val="222222"/>
          <w:sz w:val="24"/>
          <w:szCs w:val="24"/>
          <w:shd w:val="clear" w:color="auto" w:fill="FFFFFF"/>
          <w:lang w:val="pt-BR"/>
        </w:rPr>
        <w:lastRenderedPageBreak/>
        <w:t>BOTINHA, R. A.; SANTOS, C. K. S.; LEMES, S. O Uso das Escolhas Contábeis na Mensuração do Ativo Biológico: Um Estudo Comparativo entre Companhias Abertas Brasileiras.</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XVI Semead–Seminários em Administração</w:t>
      </w:r>
      <w:r w:rsidRPr="000D55C2">
        <w:rPr>
          <w:rFonts w:ascii="Times New Roman" w:hAnsi="Times New Roman"/>
          <w:color w:val="222222"/>
          <w:sz w:val="24"/>
          <w:szCs w:val="24"/>
          <w:shd w:val="clear" w:color="auto" w:fill="FFFFFF"/>
          <w:lang w:val="pt-BR"/>
        </w:rPr>
        <w:t>, 2013.</w:t>
      </w:r>
    </w:p>
    <w:p w14:paraId="0452486B" w14:textId="77777777" w:rsidR="00B25605" w:rsidRPr="000D55C2" w:rsidRDefault="00B25605" w:rsidP="008E7DAE">
      <w:pPr>
        <w:spacing w:after="0" w:line="240" w:lineRule="auto"/>
        <w:jc w:val="both"/>
        <w:rPr>
          <w:rFonts w:ascii="Times New Roman" w:hAnsi="Times New Roman"/>
          <w:sz w:val="24"/>
          <w:szCs w:val="24"/>
          <w:shd w:val="clear" w:color="auto" w:fill="FFFFFF"/>
          <w:lang w:val="pt-BR"/>
        </w:rPr>
      </w:pPr>
    </w:p>
    <w:p w14:paraId="4F8FF3BF" w14:textId="77777777" w:rsidR="00B25605" w:rsidRPr="00B25605" w:rsidRDefault="00B25605" w:rsidP="008E7DAE">
      <w:pPr>
        <w:spacing w:after="0" w:line="240" w:lineRule="auto"/>
        <w:rPr>
          <w:rFonts w:ascii="Times New Roman" w:hAnsi="Times New Roman"/>
          <w:color w:val="222222"/>
          <w:sz w:val="24"/>
          <w:szCs w:val="24"/>
          <w:shd w:val="clear" w:color="auto" w:fill="FFFFFF"/>
        </w:rPr>
      </w:pPr>
      <w:r w:rsidRPr="000D55C2">
        <w:rPr>
          <w:rFonts w:ascii="Times New Roman" w:hAnsi="Times New Roman"/>
          <w:color w:val="222222"/>
          <w:sz w:val="24"/>
          <w:szCs w:val="24"/>
          <w:shd w:val="clear" w:color="auto" w:fill="FFFFFF"/>
          <w:lang w:val="pt-BR"/>
        </w:rPr>
        <w:t xml:space="preserve">BOTINHA, R. A.; LEMES, S. Escolha do uso  </w:t>
      </w:r>
      <w:r w:rsidRPr="000D55C2">
        <w:rPr>
          <w:rFonts w:ascii="Times New Roman" w:hAnsi="Times New Roman"/>
          <w:sz w:val="24"/>
          <w:szCs w:val="24"/>
          <w:shd w:val="clear" w:color="auto" w:fill="FFFFFF"/>
          <w:lang w:val="pt-BR"/>
        </w:rPr>
        <w:t xml:space="preserve">do valor justo para propriedades para investimentos: uma influência das características de empresas listadas na BM&amp;FBOVESPA e na NYSE. </w:t>
      </w:r>
      <w:r w:rsidRPr="00B25605">
        <w:rPr>
          <w:rFonts w:ascii="Times New Roman" w:hAnsi="Times New Roman"/>
          <w:b/>
          <w:bCs/>
          <w:color w:val="222222"/>
          <w:sz w:val="24"/>
          <w:szCs w:val="24"/>
          <w:shd w:val="clear" w:color="auto" w:fill="FFFFFF"/>
        </w:rPr>
        <w:t>Advances in Scientific &amp; Applied Accounting</w:t>
      </w:r>
      <w:r w:rsidRPr="00B25605">
        <w:rPr>
          <w:rFonts w:ascii="Times New Roman" w:hAnsi="Times New Roman"/>
          <w:color w:val="222222"/>
          <w:sz w:val="24"/>
          <w:szCs w:val="24"/>
          <w:shd w:val="clear" w:color="auto" w:fill="FFFFFF"/>
        </w:rPr>
        <w:t>, v. 9, n. 1, p. 22-40, 2016.</w:t>
      </w:r>
    </w:p>
    <w:p w14:paraId="63B0EF5C" w14:textId="77777777" w:rsidR="00B25605" w:rsidRPr="00B25605" w:rsidRDefault="00B25605" w:rsidP="008E7DAE">
      <w:pPr>
        <w:spacing w:after="0" w:line="240" w:lineRule="auto"/>
        <w:rPr>
          <w:rFonts w:ascii="Times New Roman" w:hAnsi="Times New Roman"/>
          <w:iCs/>
          <w:sz w:val="24"/>
          <w:szCs w:val="24"/>
          <w:shd w:val="clear" w:color="auto" w:fill="FFFFFF"/>
        </w:rPr>
      </w:pPr>
    </w:p>
    <w:p w14:paraId="6086C026"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r w:rsidRPr="00B25605">
        <w:rPr>
          <w:rFonts w:ascii="Times New Roman" w:hAnsi="Times New Roman"/>
          <w:color w:val="222222"/>
          <w:sz w:val="24"/>
          <w:szCs w:val="24"/>
          <w:shd w:val="clear" w:color="auto" w:fill="FFFFFF"/>
        </w:rPr>
        <w:t xml:space="preserve">CAIRNS, D. </w:t>
      </w:r>
      <w:r w:rsidRPr="00B25605">
        <w:rPr>
          <w:rFonts w:ascii="Times New Roman" w:hAnsi="Times New Roman"/>
          <w:i/>
          <w:color w:val="222222"/>
          <w:sz w:val="24"/>
          <w:szCs w:val="24"/>
          <w:shd w:val="clear" w:color="auto" w:fill="FFFFFF"/>
        </w:rPr>
        <w:t>et al</w:t>
      </w:r>
      <w:r w:rsidRPr="00B25605">
        <w:rPr>
          <w:rFonts w:ascii="Times New Roman" w:hAnsi="Times New Roman"/>
          <w:color w:val="222222"/>
          <w:sz w:val="24"/>
          <w:szCs w:val="24"/>
          <w:shd w:val="clear" w:color="auto" w:fill="FFFFFF"/>
        </w:rPr>
        <w:t>. IFRS fair value measurement and accounting policy choice in the United Kingdom and Australia.</w:t>
      </w:r>
      <w:r w:rsidRPr="00B25605">
        <w:rPr>
          <w:rStyle w:val="apple-converted-space"/>
          <w:rFonts w:ascii="Times New Roman" w:hAnsi="Times New Roman"/>
          <w:color w:val="222222"/>
          <w:sz w:val="24"/>
          <w:szCs w:val="24"/>
          <w:shd w:val="clear" w:color="auto" w:fill="FFFFFF"/>
        </w:rPr>
        <w:t> </w:t>
      </w:r>
      <w:r w:rsidRPr="000D55C2">
        <w:rPr>
          <w:rFonts w:ascii="Times New Roman" w:hAnsi="Times New Roman"/>
          <w:b/>
          <w:bCs/>
          <w:color w:val="222222"/>
          <w:sz w:val="24"/>
          <w:szCs w:val="24"/>
          <w:shd w:val="clear" w:color="auto" w:fill="FFFFFF"/>
          <w:lang w:val="pt-BR"/>
        </w:rPr>
        <w:t>The British Accounting Review</w:t>
      </w:r>
      <w:r w:rsidRPr="000D55C2">
        <w:rPr>
          <w:rFonts w:ascii="Times New Roman" w:hAnsi="Times New Roman"/>
          <w:color w:val="222222"/>
          <w:sz w:val="24"/>
          <w:szCs w:val="24"/>
          <w:shd w:val="clear" w:color="auto" w:fill="FFFFFF"/>
          <w:lang w:val="pt-BR"/>
        </w:rPr>
        <w:t>, v. 43, n. 1, p. 1-21, 2011.</w:t>
      </w:r>
    </w:p>
    <w:p w14:paraId="15DB88FF"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2C8662DF" w14:textId="77777777" w:rsidR="00B25605" w:rsidRPr="00B25605" w:rsidRDefault="00B25605" w:rsidP="008E7DAE">
      <w:pPr>
        <w:spacing w:after="0" w:line="240" w:lineRule="auto"/>
        <w:jc w:val="both"/>
        <w:rPr>
          <w:rFonts w:ascii="Times New Roman" w:hAnsi="Times New Roman"/>
          <w:sz w:val="24"/>
          <w:szCs w:val="24"/>
          <w:shd w:val="clear" w:color="auto" w:fill="FFFFFF"/>
        </w:rPr>
      </w:pPr>
      <w:r w:rsidRPr="000D55C2">
        <w:rPr>
          <w:rFonts w:ascii="Times New Roman" w:hAnsi="Times New Roman"/>
          <w:color w:val="222222"/>
          <w:sz w:val="24"/>
          <w:szCs w:val="24"/>
          <w:shd w:val="clear" w:color="auto" w:fill="FFFFFF"/>
          <w:lang w:val="pt-BR"/>
        </w:rPr>
        <w:t xml:space="preserve">COELHO, L. V.; CAMPAGNONI, M.; ROVER, S. Nível de comparabilidade das práticas contábeis dos estoques de empresas do ramo vajerista listadas na BM&amp;FBOVESPA. </w:t>
      </w:r>
      <w:r w:rsidRPr="00B25605">
        <w:rPr>
          <w:rFonts w:ascii="Times New Roman" w:hAnsi="Times New Roman"/>
          <w:b/>
          <w:sz w:val="24"/>
          <w:szCs w:val="24"/>
          <w:shd w:val="clear" w:color="auto" w:fill="FFFFFF"/>
        </w:rPr>
        <w:t>1º Congresso de Iniciação Científica em Contabilidade da UFRGS</w:t>
      </w:r>
      <w:r w:rsidRPr="00B25605">
        <w:rPr>
          <w:rFonts w:ascii="Times New Roman" w:hAnsi="Times New Roman"/>
          <w:sz w:val="24"/>
          <w:szCs w:val="24"/>
          <w:shd w:val="clear" w:color="auto" w:fill="FFFFFF"/>
        </w:rPr>
        <w:t>, 2016.</w:t>
      </w:r>
    </w:p>
    <w:p w14:paraId="222359AF"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3A8BE286" w14:textId="77777777" w:rsidR="00B25605" w:rsidRPr="00B25605" w:rsidRDefault="00B25605" w:rsidP="008E7DAE">
      <w:pPr>
        <w:spacing w:after="0" w:line="240" w:lineRule="auto"/>
        <w:jc w:val="both"/>
        <w:rPr>
          <w:rFonts w:ascii="Times New Roman" w:hAnsi="Times New Roman"/>
          <w:sz w:val="24"/>
          <w:szCs w:val="24"/>
          <w:shd w:val="clear" w:color="auto" w:fill="FFFFFF"/>
        </w:rPr>
      </w:pPr>
      <w:r w:rsidRPr="00B25605">
        <w:rPr>
          <w:rFonts w:ascii="Times New Roman" w:hAnsi="Times New Roman"/>
          <w:color w:val="222222"/>
          <w:sz w:val="24"/>
          <w:szCs w:val="24"/>
          <w:shd w:val="clear" w:color="auto" w:fill="FFFFFF"/>
        </w:rPr>
        <w:t xml:space="preserve">COLE, V.; BRANSON, J.; BREESCH, D. </w:t>
      </w:r>
      <w:r w:rsidRPr="00B25605">
        <w:rPr>
          <w:rFonts w:ascii="Times New Roman" w:hAnsi="Times New Roman"/>
          <w:sz w:val="24"/>
          <w:szCs w:val="24"/>
          <w:shd w:val="clear" w:color="auto" w:fill="FFFFFF"/>
        </w:rPr>
        <w:t>An analysis of methods to measure the comparability of the consolidated financial statements of the European listed companies from the viewpoint of user.</w:t>
      </w:r>
      <w:r w:rsidRPr="00B25605">
        <w:rPr>
          <w:rFonts w:ascii="Times New Roman" w:hAnsi="Times New Roman"/>
          <w:i/>
          <w:sz w:val="24"/>
          <w:szCs w:val="24"/>
          <w:shd w:val="clear" w:color="auto" w:fill="FFFFFF"/>
        </w:rPr>
        <w:t xml:space="preserve"> </w:t>
      </w:r>
      <w:r w:rsidRPr="00B25605">
        <w:rPr>
          <w:rFonts w:ascii="Times New Roman" w:hAnsi="Times New Roman"/>
          <w:b/>
          <w:sz w:val="24"/>
          <w:szCs w:val="24"/>
          <w:shd w:val="clear" w:color="auto" w:fill="FFFFFF"/>
        </w:rPr>
        <w:t>Accountancy &amp; Bedrijfskunde</w:t>
      </w:r>
      <w:r w:rsidRPr="00B25605">
        <w:rPr>
          <w:rFonts w:ascii="Times New Roman" w:hAnsi="Times New Roman"/>
          <w:sz w:val="24"/>
          <w:szCs w:val="24"/>
          <w:shd w:val="clear" w:color="auto" w:fill="FFFFFF"/>
        </w:rPr>
        <w:t>, v. 28, n. 3, p. 1-31, 2008.</w:t>
      </w:r>
    </w:p>
    <w:p w14:paraId="41344725"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237DFC88"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r w:rsidRPr="00B25605">
        <w:rPr>
          <w:rFonts w:ascii="Times New Roman" w:hAnsi="Times New Roman"/>
          <w:color w:val="222222"/>
          <w:sz w:val="24"/>
          <w:szCs w:val="24"/>
          <w:shd w:val="clear" w:color="auto" w:fill="FFFFFF"/>
        </w:rPr>
        <w:t>COLE, V.; BRANSON, J.; BREESCH, D. How to measure the comparability of financial statements?.</w:t>
      </w:r>
      <w:r w:rsidRPr="00B25605">
        <w:rPr>
          <w:rStyle w:val="apple-converted-space"/>
          <w:rFonts w:ascii="Times New Roman" w:hAnsi="Times New Roman"/>
          <w:color w:val="222222"/>
          <w:sz w:val="24"/>
          <w:szCs w:val="24"/>
          <w:shd w:val="clear" w:color="auto" w:fill="FFFFFF"/>
        </w:rPr>
        <w:t> </w:t>
      </w:r>
      <w:r w:rsidRPr="00B25605">
        <w:rPr>
          <w:rFonts w:ascii="Times New Roman" w:hAnsi="Times New Roman"/>
          <w:b/>
          <w:bCs/>
          <w:color w:val="222222"/>
          <w:sz w:val="24"/>
          <w:szCs w:val="24"/>
          <w:shd w:val="clear" w:color="auto" w:fill="FFFFFF"/>
        </w:rPr>
        <w:t>International Journal of Managerial and Financial Accounting</w:t>
      </w:r>
      <w:r w:rsidRPr="00B25605">
        <w:rPr>
          <w:rFonts w:ascii="Times New Roman" w:hAnsi="Times New Roman"/>
          <w:color w:val="222222"/>
          <w:sz w:val="24"/>
          <w:szCs w:val="24"/>
          <w:shd w:val="clear" w:color="auto" w:fill="FFFFFF"/>
        </w:rPr>
        <w:t>, v. 1, n. 4, p. 379-397, 2009.</w:t>
      </w:r>
    </w:p>
    <w:p w14:paraId="700722A5" w14:textId="77777777" w:rsidR="00B25605" w:rsidRPr="00B25605" w:rsidRDefault="00B25605" w:rsidP="008E7DAE">
      <w:pPr>
        <w:spacing w:after="0" w:line="240" w:lineRule="auto"/>
        <w:jc w:val="both"/>
        <w:rPr>
          <w:rFonts w:ascii="Times New Roman" w:hAnsi="Times New Roman"/>
          <w:sz w:val="24"/>
          <w:szCs w:val="24"/>
        </w:rPr>
      </w:pPr>
    </w:p>
    <w:p w14:paraId="334DBCAE" w14:textId="77777777" w:rsidR="00B25605" w:rsidRPr="000D55C2" w:rsidRDefault="00B25605" w:rsidP="008E7DAE">
      <w:pPr>
        <w:spacing w:after="0" w:line="240" w:lineRule="auto"/>
        <w:jc w:val="both"/>
        <w:rPr>
          <w:rFonts w:ascii="Times New Roman" w:hAnsi="Times New Roman"/>
          <w:sz w:val="24"/>
          <w:szCs w:val="24"/>
          <w:lang w:val="pt-BR"/>
        </w:rPr>
      </w:pPr>
      <w:r w:rsidRPr="000D55C2">
        <w:rPr>
          <w:rFonts w:ascii="Times New Roman" w:hAnsi="Times New Roman"/>
          <w:sz w:val="24"/>
          <w:szCs w:val="24"/>
          <w:lang w:val="pt-BR"/>
        </w:rPr>
        <w:t xml:space="preserve">CPC – Comitê de Pronunciamentos Contábeis. </w:t>
      </w:r>
      <w:r w:rsidRPr="000D55C2">
        <w:rPr>
          <w:rFonts w:ascii="Times New Roman" w:hAnsi="Times New Roman"/>
          <w:b/>
          <w:bCs/>
          <w:sz w:val="24"/>
          <w:szCs w:val="24"/>
          <w:lang w:val="pt-BR"/>
        </w:rPr>
        <w:t xml:space="preserve">CPC 28 </w:t>
      </w:r>
      <w:r w:rsidRPr="000D55C2">
        <w:rPr>
          <w:rFonts w:ascii="Times New Roman" w:hAnsi="Times New Roman"/>
          <w:sz w:val="24"/>
          <w:szCs w:val="24"/>
          <w:lang w:val="pt-BR"/>
        </w:rPr>
        <w:t xml:space="preserve">– Propriedade para Investimento. 2009. </w:t>
      </w:r>
      <w:r w:rsidRPr="000D55C2">
        <w:rPr>
          <w:rFonts w:ascii="Times New Roman" w:hAnsi="Times New Roman"/>
          <w:sz w:val="24"/>
          <w:szCs w:val="24"/>
          <w:shd w:val="clear" w:color="auto" w:fill="FFFFFF"/>
          <w:lang w:val="pt-BR"/>
        </w:rPr>
        <w:t>Disponível em: &lt;</w:t>
      </w:r>
      <w:hyperlink r:id="rId13" w:history="1">
        <w:r w:rsidRPr="000D55C2">
          <w:rPr>
            <w:rStyle w:val="Hyperlink"/>
            <w:rFonts w:ascii="Times New Roman" w:hAnsi="Times New Roman"/>
            <w:color w:val="auto"/>
            <w:sz w:val="24"/>
            <w:szCs w:val="24"/>
            <w:u w:val="none"/>
            <w:shd w:val="clear" w:color="auto" w:fill="FFFFFF"/>
            <w:lang w:val="pt-BR"/>
          </w:rPr>
          <w:t>http://www.cpc.org.br/CPC/Documentos-Emitidos/Pronunciamentos/Pronunciamento?Id=59</w:t>
        </w:r>
      </w:hyperlink>
      <w:r w:rsidRPr="000D55C2">
        <w:rPr>
          <w:rFonts w:ascii="Times New Roman" w:hAnsi="Times New Roman"/>
          <w:sz w:val="24"/>
          <w:szCs w:val="24"/>
          <w:shd w:val="clear" w:color="auto" w:fill="FFFFFF"/>
          <w:lang w:val="pt-BR"/>
        </w:rPr>
        <w:t>&gt;. Acesso em: 15 de dezembro de 2016</w:t>
      </w:r>
      <w:r w:rsidRPr="000D55C2">
        <w:rPr>
          <w:rFonts w:ascii="Times New Roman" w:hAnsi="Times New Roman"/>
          <w:sz w:val="24"/>
          <w:szCs w:val="24"/>
          <w:lang w:val="pt-BR"/>
        </w:rPr>
        <w:t>.</w:t>
      </w:r>
    </w:p>
    <w:p w14:paraId="0D9A359B" w14:textId="77777777" w:rsidR="00B25605" w:rsidRPr="000D55C2" w:rsidRDefault="00B25605" w:rsidP="008E7DAE">
      <w:pPr>
        <w:spacing w:after="0" w:line="240" w:lineRule="auto"/>
        <w:jc w:val="both"/>
        <w:rPr>
          <w:rFonts w:ascii="Times New Roman" w:hAnsi="Times New Roman"/>
          <w:sz w:val="24"/>
          <w:szCs w:val="24"/>
          <w:lang w:val="pt-BR"/>
        </w:rPr>
      </w:pPr>
    </w:p>
    <w:p w14:paraId="484C3FCB" w14:textId="77777777" w:rsidR="00B25605" w:rsidRPr="000D55C2"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sz w:val="24"/>
          <w:szCs w:val="24"/>
          <w:lang w:val="pt-BR"/>
        </w:rPr>
        <w:t xml:space="preserve">CPC – Comitê de Pronunciamentos Contábeis. </w:t>
      </w:r>
      <w:r w:rsidRPr="000D55C2">
        <w:rPr>
          <w:rFonts w:ascii="Times New Roman" w:hAnsi="Times New Roman"/>
          <w:b/>
          <w:bCs/>
          <w:sz w:val="24"/>
          <w:szCs w:val="24"/>
          <w:lang w:val="pt-BR"/>
        </w:rPr>
        <w:t xml:space="preserve">CPC 00 (R1) </w:t>
      </w:r>
      <w:r w:rsidRPr="000D55C2">
        <w:rPr>
          <w:rFonts w:ascii="Times New Roman" w:hAnsi="Times New Roman"/>
          <w:sz w:val="24"/>
          <w:szCs w:val="24"/>
          <w:lang w:val="pt-BR"/>
        </w:rPr>
        <w:t xml:space="preserve">– </w:t>
      </w:r>
      <w:r w:rsidRPr="000D55C2">
        <w:rPr>
          <w:rFonts w:ascii="Times New Roman" w:hAnsi="Times New Roman"/>
          <w:sz w:val="24"/>
          <w:szCs w:val="24"/>
          <w:shd w:val="clear" w:color="auto" w:fill="FFFFFF"/>
          <w:lang w:val="pt-BR"/>
        </w:rPr>
        <w:t>Estrutura Conceitual para Elaboração e Divulgação de Relatório Contábil-Financeiro</w:t>
      </w:r>
      <w:r w:rsidRPr="000D55C2">
        <w:rPr>
          <w:rFonts w:ascii="Times New Roman" w:hAnsi="Times New Roman"/>
          <w:sz w:val="24"/>
          <w:szCs w:val="24"/>
          <w:lang w:val="pt-BR"/>
        </w:rPr>
        <w:t xml:space="preserve">. 2011. </w:t>
      </w:r>
      <w:r w:rsidRPr="000D55C2">
        <w:rPr>
          <w:rFonts w:ascii="Times New Roman" w:hAnsi="Times New Roman"/>
          <w:sz w:val="24"/>
          <w:szCs w:val="24"/>
          <w:shd w:val="clear" w:color="auto" w:fill="FFFFFF"/>
          <w:lang w:val="pt-BR"/>
        </w:rPr>
        <w:t>Disponível em: &lt;</w:t>
      </w:r>
      <w:r w:rsidRPr="000D55C2">
        <w:rPr>
          <w:rFonts w:ascii="Times New Roman" w:hAnsi="Times New Roman"/>
          <w:sz w:val="24"/>
          <w:szCs w:val="24"/>
          <w:lang w:val="pt-BR"/>
        </w:rPr>
        <w:t xml:space="preserve"> </w:t>
      </w:r>
      <w:hyperlink r:id="rId14" w:history="1">
        <w:r w:rsidRPr="000D55C2">
          <w:rPr>
            <w:rStyle w:val="Hyperlink"/>
            <w:rFonts w:ascii="Times New Roman" w:hAnsi="Times New Roman"/>
            <w:color w:val="auto"/>
            <w:sz w:val="24"/>
            <w:szCs w:val="24"/>
            <w:u w:val="none"/>
            <w:shd w:val="clear" w:color="auto" w:fill="FFFFFF"/>
            <w:lang w:val="pt-BR"/>
          </w:rPr>
          <w:t>http://www.cpc.org.br/CPC/Documentos-Emitidos/Pronunciamentos/Pronunciamento?Id=80</w:t>
        </w:r>
      </w:hyperlink>
      <w:r w:rsidRPr="000D55C2">
        <w:rPr>
          <w:rFonts w:ascii="Times New Roman" w:hAnsi="Times New Roman"/>
          <w:sz w:val="24"/>
          <w:szCs w:val="24"/>
          <w:shd w:val="clear" w:color="auto" w:fill="FFFFFF"/>
          <w:lang w:val="pt-BR"/>
        </w:rPr>
        <w:t>&gt;. Acesso em: 25 de novembro de 2016.</w:t>
      </w:r>
    </w:p>
    <w:p w14:paraId="5CC8FBA4"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30382DC2" w14:textId="77777777" w:rsidR="00B25605" w:rsidRPr="000D55C2" w:rsidRDefault="00B25605" w:rsidP="008E7DAE">
      <w:pPr>
        <w:spacing w:after="0" w:line="240" w:lineRule="auto"/>
        <w:jc w:val="both"/>
        <w:rPr>
          <w:rFonts w:ascii="Times New Roman" w:hAnsi="Times New Roman"/>
          <w:sz w:val="24"/>
          <w:szCs w:val="24"/>
          <w:shd w:val="clear" w:color="auto" w:fill="FFFFFF"/>
        </w:rPr>
      </w:pPr>
      <w:r w:rsidRPr="000D55C2">
        <w:rPr>
          <w:rFonts w:ascii="Times New Roman" w:hAnsi="Times New Roman"/>
          <w:color w:val="222222"/>
          <w:sz w:val="24"/>
          <w:szCs w:val="24"/>
          <w:shd w:val="clear" w:color="auto" w:fill="FFFFFF"/>
          <w:lang w:val="pt-BR"/>
        </w:rPr>
        <w:t xml:space="preserve">COSTA, T. D. A.; SILVA, A. H. C; LAURENCEL, L. D. C. </w:t>
      </w:r>
      <w:r w:rsidRPr="00B25605">
        <w:rPr>
          <w:rFonts w:ascii="Times New Roman" w:hAnsi="Times New Roman"/>
          <w:sz w:val="24"/>
          <w:szCs w:val="24"/>
          <w:shd w:val="clear" w:color="auto" w:fill="FFFFFF"/>
          <w:lang w:val="pt-BR"/>
        </w:rPr>
        <w:t>Escolha de práticas contábeis: um estudo sobre propriedades para investimento em empresas brasileiras não financeiras de capital aberto.</w:t>
      </w:r>
      <w:r w:rsidRPr="000D55C2">
        <w:rPr>
          <w:rStyle w:val="apple-converted-space"/>
          <w:rFonts w:ascii="Times New Roman" w:hAnsi="Times New Roman"/>
          <w:color w:val="222222"/>
          <w:sz w:val="24"/>
          <w:szCs w:val="24"/>
          <w:shd w:val="clear" w:color="auto" w:fill="FFFFFF"/>
          <w:lang w:val="pt-BR"/>
        </w:rPr>
        <w:t> </w:t>
      </w:r>
      <w:r w:rsidRPr="00B25605">
        <w:rPr>
          <w:rFonts w:ascii="Times New Roman" w:hAnsi="Times New Roman"/>
          <w:b/>
          <w:bCs/>
          <w:color w:val="222222"/>
          <w:sz w:val="24"/>
          <w:szCs w:val="24"/>
          <w:shd w:val="clear" w:color="auto" w:fill="FFFFFF"/>
        </w:rPr>
        <w:t>Revista de Contabilidade e Organizações</w:t>
      </w:r>
      <w:r w:rsidRPr="00B25605">
        <w:rPr>
          <w:rFonts w:ascii="Times New Roman" w:hAnsi="Times New Roman"/>
          <w:color w:val="222222"/>
          <w:sz w:val="24"/>
          <w:szCs w:val="24"/>
          <w:shd w:val="clear" w:color="auto" w:fill="FFFFFF"/>
        </w:rPr>
        <w:t>, v. 7, n. 18, p. 25-36, 2013.</w:t>
      </w:r>
    </w:p>
    <w:p w14:paraId="256AAB68"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76402B3D"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B25605">
        <w:rPr>
          <w:rFonts w:ascii="Times New Roman" w:hAnsi="Times New Roman"/>
          <w:color w:val="222222"/>
          <w:sz w:val="24"/>
          <w:szCs w:val="24"/>
          <w:shd w:val="clear" w:color="auto" w:fill="FFFFFF"/>
        </w:rPr>
        <w:t>FIELDS, T. D.; LYS, T. Z.; VINCENT, L. Empirical research on accounting choice.</w:t>
      </w:r>
      <w:r w:rsidRPr="00B25605">
        <w:rPr>
          <w:rStyle w:val="apple-converted-space"/>
          <w:rFonts w:ascii="Times New Roman" w:hAnsi="Times New Roman"/>
          <w:color w:val="222222"/>
          <w:sz w:val="24"/>
          <w:szCs w:val="24"/>
          <w:shd w:val="clear" w:color="auto" w:fill="FFFFFF"/>
        </w:rPr>
        <w:t> </w:t>
      </w:r>
      <w:r w:rsidRPr="000D55C2">
        <w:rPr>
          <w:rFonts w:ascii="Times New Roman" w:hAnsi="Times New Roman"/>
          <w:b/>
          <w:bCs/>
          <w:color w:val="222222"/>
          <w:sz w:val="24"/>
          <w:szCs w:val="24"/>
          <w:shd w:val="clear" w:color="auto" w:fill="FFFFFF"/>
          <w:lang w:val="pt-BR"/>
        </w:rPr>
        <w:t>Journal of Accounting and Economics</w:t>
      </w:r>
      <w:r w:rsidRPr="000D55C2">
        <w:rPr>
          <w:rFonts w:ascii="Times New Roman" w:hAnsi="Times New Roman"/>
          <w:color w:val="222222"/>
          <w:sz w:val="24"/>
          <w:szCs w:val="24"/>
          <w:shd w:val="clear" w:color="auto" w:fill="FFFFFF"/>
          <w:lang w:val="pt-BR"/>
        </w:rPr>
        <w:t>, v. 31, n. 1, p. 255-307, 2001.</w:t>
      </w:r>
    </w:p>
    <w:p w14:paraId="083E6CAE"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p>
    <w:p w14:paraId="46C51C7E" w14:textId="77777777" w:rsidR="00C968E9" w:rsidRPr="000D55C2" w:rsidRDefault="00C968E9" w:rsidP="00C968E9">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GIL, A. C.</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Métodos e técnicas de pesquisa social</w:t>
      </w:r>
      <w:r w:rsidRPr="000D55C2">
        <w:rPr>
          <w:rFonts w:ascii="Times New Roman" w:hAnsi="Times New Roman"/>
          <w:color w:val="222222"/>
          <w:sz w:val="24"/>
          <w:szCs w:val="24"/>
          <w:shd w:val="clear" w:color="auto" w:fill="FFFFFF"/>
          <w:lang w:val="pt-BR"/>
        </w:rPr>
        <w:t>. 6. ed. São Paulo: Atlas, 2008.</w:t>
      </w:r>
    </w:p>
    <w:p w14:paraId="12E2F81A" w14:textId="77777777" w:rsidR="00C968E9" w:rsidRPr="000D55C2" w:rsidRDefault="00C968E9" w:rsidP="00C968E9">
      <w:pPr>
        <w:spacing w:after="0" w:line="240" w:lineRule="auto"/>
        <w:rPr>
          <w:rFonts w:ascii="Times New Roman" w:hAnsi="Times New Roman"/>
          <w:sz w:val="24"/>
          <w:szCs w:val="24"/>
          <w:shd w:val="clear" w:color="auto" w:fill="FFFFFF"/>
          <w:lang w:val="pt-BR"/>
        </w:rPr>
      </w:pPr>
    </w:p>
    <w:p w14:paraId="2854A742" w14:textId="77777777" w:rsidR="00C968E9" w:rsidRPr="000D55C2" w:rsidRDefault="00C968E9" w:rsidP="00C968E9">
      <w:pPr>
        <w:spacing w:after="0" w:line="240" w:lineRule="auto"/>
        <w:jc w:val="both"/>
        <w:rPr>
          <w:rFonts w:ascii="Times New Roman" w:hAnsi="Times New Roman"/>
          <w:sz w:val="24"/>
          <w:szCs w:val="24"/>
          <w:lang w:val="pt-BR"/>
        </w:rPr>
      </w:pPr>
      <w:r w:rsidRPr="000D55C2">
        <w:rPr>
          <w:rFonts w:ascii="Times New Roman" w:hAnsi="Times New Roman"/>
          <w:color w:val="222222"/>
          <w:sz w:val="24"/>
          <w:szCs w:val="24"/>
          <w:shd w:val="clear" w:color="auto" w:fill="FFFFFF"/>
          <w:lang w:val="pt-BR"/>
        </w:rPr>
        <w:t>KOLOZSVARI, A. C.; MARQUES, J. A. V. D. C.; MACEDO, M. A. D. S. Escolhas Contábeis: análise dos efeitos da mensuração a custo ou a valor justo das propriedades para investimento sobre o desempenho reportado no segmento de exploração imobiliária.</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Pensar Contábil</w:t>
      </w:r>
      <w:r w:rsidRPr="000D55C2">
        <w:rPr>
          <w:rFonts w:ascii="Times New Roman" w:hAnsi="Times New Roman"/>
          <w:color w:val="222222"/>
          <w:sz w:val="24"/>
          <w:szCs w:val="24"/>
          <w:shd w:val="clear" w:color="auto" w:fill="FFFFFF"/>
          <w:lang w:val="pt-BR"/>
        </w:rPr>
        <w:t>, v. 16, n. 61, 2014.</w:t>
      </w:r>
    </w:p>
    <w:p w14:paraId="13D395A4" w14:textId="77777777" w:rsidR="00C968E9" w:rsidRDefault="00C968E9" w:rsidP="008E7DAE">
      <w:pPr>
        <w:spacing w:after="0" w:line="240" w:lineRule="auto"/>
        <w:jc w:val="both"/>
        <w:rPr>
          <w:rFonts w:ascii="Times New Roman" w:hAnsi="Times New Roman"/>
          <w:sz w:val="24"/>
          <w:szCs w:val="24"/>
          <w:shd w:val="clear" w:color="auto" w:fill="FFFFFF"/>
          <w:lang w:val="pt-BR"/>
        </w:rPr>
      </w:pPr>
    </w:p>
    <w:p w14:paraId="16C7B31B"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B25605">
        <w:rPr>
          <w:rFonts w:ascii="Times New Roman" w:hAnsi="Times New Roman"/>
          <w:sz w:val="24"/>
          <w:szCs w:val="24"/>
          <w:shd w:val="clear" w:color="auto" w:fill="FFFFFF"/>
          <w:lang w:val="pt-BR"/>
        </w:rPr>
        <w:t xml:space="preserve">MARTINS, G. D. A.; THEÓPHILO, C.R. </w:t>
      </w:r>
      <w:r w:rsidRPr="00B25605">
        <w:rPr>
          <w:rFonts w:ascii="Times New Roman" w:hAnsi="Times New Roman"/>
          <w:b/>
          <w:sz w:val="24"/>
          <w:szCs w:val="24"/>
          <w:shd w:val="clear" w:color="auto" w:fill="FFFFFF"/>
          <w:lang w:val="pt-BR"/>
        </w:rPr>
        <w:t>Metodologia da investigação científica para ciências sociais aplicadas</w:t>
      </w:r>
      <w:r w:rsidRPr="00B25605">
        <w:rPr>
          <w:rFonts w:ascii="Times New Roman" w:hAnsi="Times New Roman"/>
          <w:sz w:val="24"/>
          <w:szCs w:val="24"/>
          <w:shd w:val="clear" w:color="auto" w:fill="FFFFFF"/>
          <w:lang w:val="pt-BR"/>
        </w:rPr>
        <w:t>. 2. ed. São Paulo: Atlas, 2009.</w:t>
      </w:r>
    </w:p>
    <w:p w14:paraId="5DDC1604"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062ED4AD"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 xml:space="preserve">PEREIRA, A. F. </w:t>
      </w:r>
      <w:r w:rsidRPr="000D55C2">
        <w:rPr>
          <w:rFonts w:ascii="Times New Roman" w:hAnsi="Times New Roman"/>
          <w:b/>
          <w:bCs/>
          <w:color w:val="222222"/>
          <w:sz w:val="24"/>
          <w:szCs w:val="24"/>
          <w:shd w:val="clear" w:color="auto" w:fill="FFFFFF"/>
          <w:lang w:val="pt-BR"/>
        </w:rPr>
        <w:t>Determinantes na escolha do valor justo para propriedades para investimento no Brasil</w:t>
      </w:r>
      <w:r w:rsidRPr="000D55C2">
        <w:rPr>
          <w:rFonts w:ascii="Times New Roman" w:hAnsi="Times New Roman"/>
          <w:color w:val="222222"/>
          <w:sz w:val="24"/>
          <w:szCs w:val="24"/>
          <w:shd w:val="clear" w:color="auto" w:fill="FFFFFF"/>
          <w:lang w:val="pt-BR"/>
        </w:rPr>
        <w:t xml:space="preserve">. 2013. </w:t>
      </w:r>
      <w:r w:rsidRPr="00B25605">
        <w:rPr>
          <w:rStyle w:val="apple-converted-space"/>
          <w:rFonts w:ascii="Times New Roman" w:hAnsi="Times New Roman"/>
          <w:sz w:val="24"/>
          <w:szCs w:val="24"/>
          <w:shd w:val="clear" w:color="auto" w:fill="FFFFFF"/>
          <w:lang w:val="pt-BR"/>
        </w:rPr>
        <w:t>Dissertação (Mestrado) - Programa de Pós-Graduação em Controladoria e Contabilidade, Universidade de São Paulo (USP)</w:t>
      </w:r>
      <w:r w:rsidRPr="000D55C2">
        <w:rPr>
          <w:rFonts w:ascii="Times New Roman" w:hAnsi="Times New Roman"/>
          <w:color w:val="222222"/>
          <w:sz w:val="24"/>
          <w:szCs w:val="24"/>
          <w:shd w:val="clear" w:color="auto" w:fill="FFFFFF"/>
          <w:lang w:val="pt-BR"/>
        </w:rPr>
        <w:t xml:space="preserve">. </w:t>
      </w:r>
      <w:r w:rsidRPr="00B25605">
        <w:rPr>
          <w:rStyle w:val="apple-converted-space"/>
          <w:rFonts w:ascii="Times New Roman" w:hAnsi="Times New Roman"/>
          <w:sz w:val="24"/>
          <w:szCs w:val="24"/>
          <w:shd w:val="clear" w:color="auto" w:fill="FFFFFF"/>
          <w:lang w:val="pt-BR"/>
        </w:rPr>
        <w:t>Disponível em:</w:t>
      </w:r>
      <w:r w:rsidRPr="00B25605">
        <w:rPr>
          <w:rFonts w:ascii="Times New Roman" w:hAnsi="Times New Roman"/>
          <w:sz w:val="24"/>
          <w:szCs w:val="24"/>
          <w:shd w:val="clear" w:color="auto" w:fill="FFFFFF"/>
          <w:lang w:val="pt-BR"/>
        </w:rPr>
        <w:t xml:space="preserve"> &lt;</w:t>
      </w:r>
      <w:hyperlink r:id="rId15" w:history="1">
        <w:r w:rsidRPr="00B25605">
          <w:rPr>
            <w:rStyle w:val="Hyperlink"/>
            <w:rFonts w:ascii="Times New Roman" w:hAnsi="Times New Roman"/>
            <w:color w:val="auto"/>
            <w:sz w:val="24"/>
            <w:szCs w:val="24"/>
            <w:u w:val="none"/>
            <w:shd w:val="clear" w:color="auto" w:fill="FFFFFF"/>
            <w:lang w:val="pt-BR"/>
          </w:rPr>
          <w:t>http://www.teses.usp.br/teses/disponiveis/12/12136/tde-25032013-161045/pt-br.php</w:t>
        </w:r>
      </w:hyperlink>
      <w:r w:rsidRPr="00B25605">
        <w:rPr>
          <w:rFonts w:ascii="Times New Roman" w:hAnsi="Times New Roman"/>
          <w:sz w:val="24"/>
          <w:szCs w:val="24"/>
          <w:shd w:val="clear" w:color="auto" w:fill="FFFFFF"/>
          <w:lang w:val="pt-BR"/>
        </w:rPr>
        <w:t>&gt; Acesso em: 15 de janeiro de 2017.</w:t>
      </w:r>
    </w:p>
    <w:p w14:paraId="5F458A3E"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4DA1975C"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PINTO, M. J. T.; MARTINS, V. A.; DA SILVA, D. M. Escolhas contábeis: o caso brasileiro das propriedades para investimento.</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Contabilidade &amp; Finanças</w:t>
      </w:r>
      <w:r w:rsidRPr="000D55C2">
        <w:rPr>
          <w:rFonts w:ascii="Times New Roman" w:hAnsi="Times New Roman"/>
          <w:color w:val="222222"/>
          <w:sz w:val="24"/>
          <w:szCs w:val="24"/>
          <w:shd w:val="clear" w:color="auto" w:fill="FFFFFF"/>
          <w:lang w:val="pt-BR"/>
        </w:rPr>
        <w:t>, v. 26, n. 69, p. 274-289, 2015.</w:t>
      </w:r>
    </w:p>
    <w:p w14:paraId="578B9D5A"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4B388C32"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 xml:space="preserve">SILVA, J. D.; FONSECA, L. D. M.; NOGUEIRA, D. R. Nível de conformidade do pronunciamento CPC 28: uma análise nas companhias abertas brasileiras. </w:t>
      </w:r>
      <w:r w:rsidRPr="000D55C2">
        <w:rPr>
          <w:rFonts w:ascii="Times New Roman" w:hAnsi="Times New Roman"/>
          <w:b/>
          <w:bCs/>
          <w:color w:val="222222"/>
          <w:sz w:val="24"/>
          <w:szCs w:val="24"/>
          <w:shd w:val="clear" w:color="auto" w:fill="FFFFFF"/>
          <w:lang w:val="pt-BR"/>
        </w:rPr>
        <w:t>Revista Catarinense da Ciência Contábil</w:t>
      </w:r>
      <w:r w:rsidRPr="000D55C2">
        <w:rPr>
          <w:rFonts w:ascii="Times New Roman" w:hAnsi="Times New Roman"/>
          <w:color w:val="222222"/>
          <w:sz w:val="24"/>
          <w:szCs w:val="24"/>
          <w:shd w:val="clear" w:color="auto" w:fill="FFFFFF"/>
          <w:lang w:val="pt-BR"/>
        </w:rPr>
        <w:t>, v. 13, n. 40, p. 54-66, 2014.</w:t>
      </w:r>
    </w:p>
    <w:p w14:paraId="09D550DB"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536749F5"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SOUZA, F. E. A.; SILVA, M. H.; COSTA, P. S. A comparabilidade das escolhas contábeis na avaliação de ativos intangíveis de companhias abertas brasileiras.</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 xml:space="preserve">16º Seminários em Administração, </w:t>
      </w:r>
      <w:r w:rsidRPr="000D55C2">
        <w:rPr>
          <w:rFonts w:ascii="Times New Roman" w:hAnsi="Times New Roman"/>
          <w:color w:val="222222"/>
          <w:sz w:val="24"/>
          <w:szCs w:val="24"/>
          <w:shd w:val="clear" w:color="auto" w:fill="FFFFFF"/>
          <w:lang w:val="pt-BR"/>
        </w:rPr>
        <w:t>2013.</w:t>
      </w:r>
    </w:p>
    <w:p w14:paraId="22205D97"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3C8D1625"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 xml:space="preserve">SOUZA, F. E. A. </w:t>
      </w:r>
      <w:r w:rsidRPr="000D55C2">
        <w:rPr>
          <w:rFonts w:ascii="Times New Roman" w:hAnsi="Times New Roman"/>
          <w:i/>
          <w:color w:val="222222"/>
          <w:sz w:val="24"/>
          <w:szCs w:val="24"/>
          <w:shd w:val="clear" w:color="auto" w:fill="FFFFFF"/>
          <w:lang w:val="pt-BR"/>
        </w:rPr>
        <w:t>et al.</w:t>
      </w:r>
      <w:r w:rsidRPr="000D55C2">
        <w:rPr>
          <w:rFonts w:ascii="Times New Roman" w:hAnsi="Times New Roman"/>
          <w:color w:val="222222"/>
          <w:sz w:val="24"/>
          <w:szCs w:val="24"/>
          <w:shd w:val="clear" w:color="auto" w:fill="FFFFFF"/>
          <w:lang w:val="pt-BR"/>
        </w:rPr>
        <w:t xml:space="preserve"> A comparabilidade das escolhas contábeis na avaliação posterior de propriedades para investimento: uma análise das companhias abertas brasileiras e portuguesas.</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Contabilidade &amp; Finanças</w:t>
      </w:r>
      <w:r w:rsidRPr="000D55C2">
        <w:rPr>
          <w:rFonts w:ascii="Times New Roman" w:hAnsi="Times New Roman"/>
          <w:color w:val="222222"/>
          <w:sz w:val="24"/>
          <w:szCs w:val="24"/>
          <w:shd w:val="clear" w:color="auto" w:fill="FFFFFF"/>
          <w:lang w:val="pt-BR"/>
        </w:rPr>
        <w:t>, v. 26, n. 68, p. 154-166, 2015.</w:t>
      </w:r>
    </w:p>
    <w:p w14:paraId="4EB31FCE"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0B9750A0"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SOUZA, F. E. A.; SILVA, M. H.; RECH, I. J. O impacto das escolhas contábeis na comparabilidade dos ativos imobilizados de companhias abertas no Brasil.</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Capital Científico - Eletrônica (RCCe)</w:t>
      </w:r>
      <w:r w:rsidRPr="000D55C2">
        <w:rPr>
          <w:rFonts w:ascii="Times New Roman" w:hAnsi="Times New Roman"/>
          <w:color w:val="222222"/>
          <w:sz w:val="24"/>
          <w:szCs w:val="24"/>
          <w:shd w:val="clear" w:color="auto" w:fill="FFFFFF"/>
          <w:lang w:val="pt-BR"/>
        </w:rPr>
        <w:t>, v. 13, n. 3, p. 93-110, 2015.</w:t>
      </w:r>
    </w:p>
    <w:p w14:paraId="48D7F348"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46FCD308" w14:textId="77777777" w:rsidR="00B25605" w:rsidRPr="000D55C2" w:rsidRDefault="00B25605" w:rsidP="008E7DAE">
      <w:pPr>
        <w:spacing w:after="0" w:line="240" w:lineRule="auto"/>
        <w:jc w:val="both"/>
        <w:rPr>
          <w:rFonts w:ascii="Times New Roman" w:hAnsi="Times New Roman"/>
          <w:sz w:val="24"/>
          <w:szCs w:val="24"/>
          <w:shd w:val="clear" w:color="auto" w:fill="FFFFFF"/>
        </w:rPr>
      </w:pPr>
      <w:r w:rsidRPr="000D55C2">
        <w:rPr>
          <w:rFonts w:ascii="Times New Roman" w:hAnsi="Times New Roman"/>
          <w:color w:val="222222"/>
          <w:sz w:val="24"/>
          <w:szCs w:val="24"/>
          <w:shd w:val="clear" w:color="auto" w:fill="FFFFFF"/>
          <w:lang w:val="pt-BR"/>
        </w:rPr>
        <w:t>SOUZA, F. E. A.; LEMES, S. A comparabilidade das escolhas contábeis na mensuração subsequente de ativos imobilizados, de ativos intangíveis e de propriedades para investimento em empresas da América do Sul.</w:t>
      </w:r>
      <w:r w:rsidRPr="000D55C2">
        <w:rPr>
          <w:rStyle w:val="apple-converted-space"/>
          <w:rFonts w:ascii="Times New Roman" w:hAnsi="Times New Roman"/>
          <w:color w:val="222222"/>
          <w:sz w:val="24"/>
          <w:szCs w:val="24"/>
          <w:shd w:val="clear" w:color="auto" w:fill="FFFFFF"/>
          <w:lang w:val="pt-BR"/>
        </w:rPr>
        <w:t> </w:t>
      </w:r>
      <w:r w:rsidRPr="00B25605">
        <w:rPr>
          <w:rFonts w:ascii="Times New Roman" w:hAnsi="Times New Roman"/>
          <w:b/>
          <w:bCs/>
          <w:color w:val="222222"/>
          <w:sz w:val="24"/>
          <w:szCs w:val="24"/>
          <w:shd w:val="clear" w:color="auto" w:fill="FFFFFF"/>
        </w:rPr>
        <w:t>Revista Contabilidade &amp; Finanças</w:t>
      </w:r>
      <w:r w:rsidRPr="00B25605">
        <w:rPr>
          <w:rFonts w:ascii="Times New Roman" w:hAnsi="Times New Roman"/>
          <w:color w:val="222222"/>
          <w:sz w:val="24"/>
          <w:szCs w:val="24"/>
          <w:shd w:val="clear" w:color="auto" w:fill="FFFFFF"/>
        </w:rPr>
        <w:t>, v. 27, n. 71, p. 169-184, 2016.</w:t>
      </w:r>
    </w:p>
    <w:p w14:paraId="1F9CFC02"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6C38A9A1" w14:textId="77777777" w:rsidR="00B25605" w:rsidRPr="00B25605" w:rsidRDefault="00B25605" w:rsidP="008E7DAE">
      <w:pPr>
        <w:spacing w:after="0" w:line="240" w:lineRule="auto"/>
        <w:jc w:val="both"/>
        <w:rPr>
          <w:rFonts w:ascii="Times New Roman" w:hAnsi="Times New Roman"/>
          <w:sz w:val="24"/>
          <w:szCs w:val="24"/>
          <w:shd w:val="clear" w:color="auto" w:fill="FFFFFF"/>
          <w:lang w:val="pt-BR"/>
        </w:rPr>
      </w:pPr>
      <w:r w:rsidRPr="00B25605">
        <w:rPr>
          <w:rFonts w:ascii="Times New Roman" w:hAnsi="Times New Roman"/>
          <w:color w:val="222222"/>
          <w:sz w:val="24"/>
          <w:szCs w:val="24"/>
          <w:shd w:val="clear" w:color="auto" w:fill="FFFFFF"/>
        </w:rPr>
        <w:t>TAPLIN, R. H. A unified approach to the measurement of international accounting harmony.</w:t>
      </w:r>
      <w:r w:rsidRPr="00B25605">
        <w:rPr>
          <w:rStyle w:val="apple-converted-space"/>
          <w:rFonts w:ascii="Times New Roman" w:hAnsi="Times New Roman"/>
          <w:color w:val="222222"/>
          <w:sz w:val="24"/>
          <w:szCs w:val="24"/>
          <w:shd w:val="clear" w:color="auto" w:fill="FFFFFF"/>
        </w:rPr>
        <w:t> </w:t>
      </w:r>
      <w:r w:rsidRPr="00B25605">
        <w:rPr>
          <w:rFonts w:ascii="Times New Roman" w:hAnsi="Times New Roman"/>
          <w:b/>
          <w:bCs/>
          <w:color w:val="222222"/>
          <w:sz w:val="24"/>
          <w:szCs w:val="24"/>
          <w:shd w:val="clear" w:color="auto" w:fill="FFFFFF"/>
        </w:rPr>
        <w:t>Accounting and Business Research</w:t>
      </w:r>
      <w:r w:rsidRPr="00B25605">
        <w:rPr>
          <w:rFonts w:ascii="Times New Roman" w:hAnsi="Times New Roman"/>
          <w:color w:val="222222"/>
          <w:sz w:val="24"/>
          <w:szCs w:val="24"/>
          <w:shd w:val="clear" w:color="auto" w:fill="FFFFFF"/>
        </w:rPr>
        <w:t>, v. 34, n. 1, p. 57-73, 2004.</w:t>
      </w:r>
    </w:p>
    <w:p w14:paraId="647C8CF3"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54D06984" w14:textId="77777777" w:rsidR="00B25605" w:rsidRPr="000D55C2" w:rsidRDefault="00B25605" w:rsidP="008E7DAE">
      <w:pPr>
        <w:spacing w:after="0" w:line="240" w:lineRule="auto"/>
        <w:jc w:val="both"/>
        <w:rPr>
          <w:rFonts w:ascii="Times New Roman" w:hAnsi="Times New Roman"/>
          <w:sz w:val="24"/>
          <w:szCs w:val="24"/>
          <w:shd w:val="clear" w:color="auto" w:fill="FFFFFF"/>
          <w:lang w:val="pt-BR"/>
        </w:rPr>
      </w:pPr>
      <w:r w:rsidRPr="000D55C2">
        <w:rPr>
          <w:rFonts w:ascii="Times New Roman" w:hAnsi="Times New Roman"/>
          <w:color w:val="222222"/>
          <w:sz w:val="24"/>
          <w:szCs w:val="24"/>
          <w:shd w:val="clear" w:color="auto" w:fill="FFFFFF"/>
          <w:lang w:val="pt-BR"/>
        </w:rPr>
        <w:t xml:space="preserve">THOMAZ, J. L. P.; KRONBAUER, C. A.; SCHNEIDER, L. C. </w:t>
      </w:r>
      <w:r w:rsidRPr="00B25605">
        <w:rPr>
          <w:rFonts w:ascii="Times New Roman" w:eastAsia="Times New Roman" w:hAnsi="Times New Roman"/>
          <w:noProof w:val="0"/>
          <w:sz w:val="24"/>
          <w:szCs w:val="24"/>
          <w:lang w:val="pt-BR" w:eastAsia="pt-BR"/>
        </w:rPr>
        <w:t xml:space="preserve">Estudo das normas e práticas contábeis adotados pelas empresas industriais do </w:t>
      </w:r>
      <w:proofErr w:type="gramStart"/>
      <w:r w:rsidRPr="00B25605">
        <w:rPr>
          <w:rFonts w:ascii="Times New Roman" w:eastAsia="Times New Roman" w:hAnsi="Times New Roman"/>
          <w:noProof w:val="0"/>
          <w:sz w:val="24"/>
          <w:szCs w:val="24"/>
          <w:lang w:val="pt-BR" w:eastAsia="pt-BR"/>
        </w:rPr>
        <w:t>Mercosul</w:t>
      </w:r>
      <w:proofErr w:type="gramEnd"/>
      <w:r w:rsidRPr="00B25605">
        <w:rPr>
          <w:rFonts w:ascii="Times New Roman" w:eastAsia="Times New Roman" w:hAnsi="Times New Roman"/>
          <w:noProof w:val="0"/>
          <w:sz w:val="24"/>
          <w:szCs w:val="24"/>
          <w:lang w:val="pt-BR" w:eastAsia="pt-BR"/>
        </w:rPr>
        <w:t xml:space="preserve"> e Comunidade Andina: convergência referente a mensuração e evidenciação das propriedades para investimento</w:t>
      </w:r>
      <w:r w:rsidRPr="000D55C2">
        <w:rPr>
          <w:rFonts w:ascii="Times New Roman" w:hAnsi="Times New Roman"/>
          <w:color w:val="222222"/>
          <w:sz w:val="24"/>
          <w:szCs w:val="24"/>
          <w:shd w:val="clear" w:color="auto" w:fill="FFFFFF"/>
          <w:lang w:val="pt-BR"/>
        </w:rPr>
        <w:t>.</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de Contabilidade do Mestrado em Ciências Contábeis da UERJ</w:t>
      </w:r>
      <w:r w:rsidRPr="000D55C2">
        <w:rPr>
          <w:rFonts w:ascii="Times New Roman" w:hAnsi="Times New Roman"/>
          <w:color w:val="222222"/>
          <w:sz w:val="24"/>
          <w:szCs w:val="24"/>
          <w:shd w:val="clear" w:color="auto" w:fill="FFFFFF"/>
          <w:lang w:val="pt-BR"/>
        </w:rPr>
        <w:t>, v. 19, n. 3, p. 2-18, 2015.</w:t>
      </w:r>
    </w:p>
    <w:p w14:paraId="19383746" w14:textId="77777777" w:rsidR="00B25605" w:rsidRPr="000D55C2" w:rsidRDefault="00B25605" w:rsidP="008E7DAE">
      <w:pPr>
        <w:spacing w:after="0" w:line="240" w:lineRule="auto"/>
        <w:jc w:val="both"/>
        <w:rPr>
          <w:rFonts w:ascii="Times New Roman" w:hAnsi="Times New Roman"/>
          <w:color w:val="222222"/>
          <w:sz w:val="24"/>
          <w:szCs w:val="24"/>
          <w:shd w:val="clear" w:color="auto" w:fill="FFFFFF"/>
          <w:lang w:val="pt-BR"/>
        </w:rPr>
      </w:pPr>
    </w:p>
    <w:p w14:paraId="5A6CD9AC" w14:textId="77777777" w:rsidR="00B25605" w:rsidRPr="00B25605" w:rsidRDefault="00B25605" w:rsidP="008E7DAE">
      <w:pPr>
        <w:spacing w:after="0" w:line="240" w:lineRule="auto"/>
        <w:jc w:val="both"/>
        <w:rPr>
          <w:rFonts w:ascii="Times New Roman" w:hAnsi="Times New Roman"/>
          <w:sz w:val="24"/>
          <w:szCs w:val="24"/>
          <w:shd w:val="clear" w:color="auto" w:fill="FFFFFF"/>
        </w:rPr>
      </w:pPr>
      <w:r w:rsidRPr="00B25605">
        <w:rPr>
          <w:rFonts w:ascii="Times New Roman" w:hAnsi="Times New Roman"/>
          <w:color w:val="222222"/>
          <w:sz w:val="24"/>
          <w:szCs w:val="24"/>
          <w:shd w:val="clear" w:color="auto" w:fill="FFFFFF"/>
        </w:rPr>
        <w:t>VAN DER TAS, L. G. Measuring harmonisation of financial reporting practice.</w:t>
      </w:r>
      <w:r w:rsidRPr="00B25605">
        <w:rPr>
          <w:rStyle w:val="apple-converted-space"/>
          <w:rFonts w:ascii="Times New Roman" w:hAnsi="Times New Roman"/>
          <w:color w:val="222222"/>
          <w:sz w:val="24"/>
          <w:szCs w:val="24"/>
          <w:shd w:val="clear" w:color="auto" w:fill="FFFFFF"/>
        </w:rPr>
        <w:t> </w:t>
      </w:r>
      <w:r w:rsidRPr="00B25605">
        <w:rPr>
          <w:rFonts w:ascii="Times New Roman" w:hAnsi="Times New Roman"/>
          <w:b/>
          <w:bCs/>
          <w:color w:val="222222"/>
          <w:sz w:val="24"/>
          <w:szCs w:val="24"/>
          <w:shd w:val="clear" w:color="auto" w:fill="FFFFFF"/>
        </w:rPr>
        <w:t>Accounting and business research</w:t>
      </w:r>
      <w:r w:rsidRPr="00B25605">
        <w:rPr>
          <w:rFonts w:ascii="Times New Roman" w:hAnsi="Times New Roman"/>
          <w:color w:val="222222"/>
          <w:sz w:val="24"/>
          <w:szCs w:val="24"/>
          <w:shd w:val="clear" w:color="auto" w:fill="FFFFFF"/>
        </w:rPr>
        <w:t>, v. 18, n. 70, p. 157-169, 1988.</w:t>
      </w:r>
    </w:p>
    <w:p w14:paraId="1CAD289C" w14:textId="77777777" w:rsidR="00B25605" w:rsidRPr="00B25605" w:rsidRDefault="00B25605" w:rsidP="008E7DAE">
      <w:pPr>
        <w:spacing w:after="0" w:line="240" w:lineRule="auto"/>
        <w:jc w:val="both"/>
        <w:rPr>
          <w:rFonts w:ascii="Times New Roman" w:hAnsi="Times New Roman"/>
          <w:color w:val="222222"/>
          <w:sz w:val="24"/>
          <w:szCs w:val="24"/>
          <w:shd w:val="clear" w:color="auto" w:fill="FFFFFF"/>
        </w:rPr>
      </w:pPr>
    </w:p>
    <w:p w14:paraId="1CE78AD5" w14:textId="77777777" w:rsidR="00B25605" w:rsidRPr="000D55C2" w:rsidRDefault="00B25605" w:rsidP="008E7DAE">
      <w:pPr>
        <w:spacing w:after="0" w:line="240" w:lineRule="auto"/>
        <w:jc w:val="both"/>
        <w:rPr>
          <w:rFonts w:ascii="Times New Roman" w:hAnsi="Times New Roman"/>
          <w:sz w:val="24"/>
          <w:szCs w:val="24"/>
          <w:lang w:val="pt-BR"/>
        </w:rPr>
      </w:pPr>
      <w:r w:rsidRPr="00B25605">
        <w:rPr>
          <w:rFonts w:ascii="Times New Roman" w:hAnsi="Times New Roman"/>
          <w:color w:val="222222"/>
          <w:sz w:val="24"/>
          <w:szCs w:val="24"/>
          <w:shd w:val="clear" w:color="auto" w:fill="FFFFFF"/>
        </w:rPr>
        <w:t xml:space="preserve">VAZ, A. C. </w:t>
      </w:r>
      <w:r w:rsidRPr="00B25605">
        <w:rPr>
          <w:rFonts w:ascii="Times New Roman" w:hAnsi="Times New Roman"/>
          <w:i/>
          <w:color w:val="222222"/>
          <w:sz w:val="24"/>
          <w:szCs w:val="24"/>
          <w:shd w:val="clear" w:color="auto" w:fill="FFFFFF"/>
        </w:rPr>
        <w:t>et al.</w:t>
      </w:r>
      <w:r w:rsidRPr="00B25605">
        <w:rPr>
          <w:rFonts w:ascii="Times New Roman" w:hAnsi="Times New Roman"/>
          <w:color w:val="222222"/>
          <w:sz w:val="24"/>
          <w:szCs w:val="24"/>
          <w:shd w:val="clear" w:color="auto" w:fill="FFFFFF"/>
        </w:rPr>
        <w:t xml:space="preserve"> </w:t>
      </w:r>
      <w:r w:rsidRPr="000D55C2">
        <w:rPr>
          <w:rFonts w:ascii="Times New Roman" w:hAnsi="Times New Roman"/>
          <w:color w:val="222222"/>
          <w:sz w:val="24"/>
          <w:szCs w:val="24"/>
          <w:shd w:val="clear" w:color="auto" w:fill="FFFFFF"/>
          <w:lang w:val="pt-BR"/>
        </w:rPr>
        <w:t>Análise comparativa sobre informações voluntárias divulgadas: o social disclosure das empresas latino-americanas listadas na Nyse.</w:t>
      </w:r>
      <w:r w:rsidRPr="000D55C2">
        <w:rPr>
          <w:rStyle w:val="apple-converted-space"/>
          <w:rFonts w:ascii="Times New Roman" w:hAnsi="Times New Roman"/>
          <w:color w:val="222222"/>
          <w:sz w:val="24"/>
          <w:szCs w:val="24"/>
          <w:shd w:val="clear" w:color="auto" w:fill="FFFFFF"/>
          <w:lang w:val="pt-BR"/>
        </w:rPr>
        <w:t> </w:t>
      </w:r>
      <w:r w:rsidRPr="000D55C2">
        <w:rPr>
          <w:rFonts w:ascii="Times New Roman" w:hAnsi="Times New Roman"/>
          <w:b/>
          <w:bCs/>
          <w:color w:val="222222"/>
          <w:sz w:val="24"/>
          <w:szCs w:val="24"/>
          <w:shd w:val="clear" w:color="auto" w:fill="FFFFFF"/>
          <w:lang w:val="pt-BR"/>
        </w:rPr>
        <w:t>Revista de Educação e Pesquisa em Contabilidade (REPeC)</w:t>
      </w:r>
      <w:r w:rsidRPr="000D55C2">
        <w:rPr>
          <w:rFonts w:ascii="Times New Roman" w:hAnsi="Times New Roman"/>
          <w:color w:val="222222"/>
          <w:sz w:val="24"/>
          <w:szCs w:val="24"/>
          <w:shd w:val="clear" w:color="auto" w:fill="FFFFFF"/>
          <w:lang w:val="pt-BR"/>
        </w:rPr>
        <w:t>, v. 4, n. 1, p. 38-59, 2010.</w:t>
      </w:r>
    </w:p>
    <w:p w14:paraId="654852B4" w14:textId="77777777" w:rsidR="00B25605" w:rsidRPr="000D55C2" w:rsidRDefault="00B25605" w:rsidP="00EF3850">
      <w:pPr>
        <w:spacing w:after="0" w:line="240" w:lineRule="auto"/>
        <w:jc w:val="both"/>
        <w:rPr>
          <w:rFonts w:ascii="Times New Roman" w:hAnsi="Times New Roman"/>
          <w:sz w:val="26"/>
          <w:szCs w:val="26"/>
          <w:lang w:val="pt-BR"/>
        </w:rPr>
      </w:pPr>
    </w:p>
    <w:sectPr w:rsidR="00B25605" w:rsidRPr="000D55C2" w:rsidSect="009A6B5D">
      <w:headerReference w:type="default" r:id="rId16"/>
      <w:footerReference w:type="default" r:id="rId17"/>
      <w:pgSz w:w="11906" w:h="16838" w:code="9"/>
      <w:pgMar w:top="1701" w:right="1134" w:bottom="1134" w:left="1701" w:header="142"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1B25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DEBF1" w14:textId="77777777" w:rsidR="007A415E" w:rsidRDefault="007A415E" w:rsidP="00A820D3">
      <w:pPr>
        <w:spacing w:after="0" w:line="240" w:lineRule="auto"/>
      </w:pPr>
      <w:r>
        <w:separator/>
      </w:r>
    </w:p>
  </w:endnote>
  <w:endnote w:type="continuationSeparator" w:id="0">
    <w:p w14:paraId="133F3EA4" w14:textId="77777777" w:rsidR="007A415E" w:rsidRDefault="007A415E" w:rsidP="00A82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FE62B" w14:textId="45F350A0" w:rsidR="004851C6" w:rsidRPr="00CA1FEE" w:rsidRDefault="004851C6">
    <w:pPr>
      <w:pStyle w:val="Rodap"/>
      <w:jc w:val="right"/>
      <w:rPr>
        <w:rFonts w:ascii="Times New Roman" w:hAnsi="Times New Roman"/>
      </w:rPr>
    </w:pPr>
    <w:r w:rsidRPr="00CA1FEE">
      <w:rPr>
        <w:rFonts w:ascii="Times New Roman" w:hAnsi="Times New Roman"/>
      </w:rPr>
      <w:fldChar w:fldCharType="begin"/>
    </w:r>
    <w:r w:rsidRPr="00CA1FEE">
      <w:rPr>
        <w:rFonts w:ascii="Times New Roman" w:hAnsi="Times New Roman"/>
      </w:rPr>
      <w:instrText>PAGE   \* MERGEFORMAT</w:instrText>
    </w:r>
    <w:r w:rsidRPr="00CA1FEE">
      <w:rPr>
        <w:rFonts w:ascii="Times New Roman" w:hAnsi="Times New Roman"/>
      </w:rPr>
      <w:fldChar w:fldCharType="separate"/>
    </w:r>
    <w:r w:rsidR="00B70D67" w:rsidRPr="00B70D67">
      <w:rPr>
        <w:rFonts w:ascii="Times New Roman" w:hAnsi="Times New Roman"/>
        <w:lang w:val="pt-BR"/>
      </w:rPr>
      <w:t>19</w:t>
    </w:r>
    <w:r w:rsidRPr="00CA1FEE">
      <w:rPr>
        <w:rFonts w:ascii="Times New Roman" w:hAnsi="Times New Roman"/>
      </w:rPr>
      <w:fldChar w:fldCharType="end"/>
    </w:r>
  </w:p>
  <w:p w14:paraId="680C30A7" w14:textId="5F762968" w:rsidR="007757FA" w:rsidRDefault="007757FA" w:rsidP="007757FA">
    <w:pPr>
      <w:jc w:val="center"/>
    </w:pPr>
    <w:r>
      <w:rPr>
        <w:lang w:val="pt-BR" w:eastAsia="pt-BR"/>
      </w:rPr>
      <w:drawing>
        <wp:inline distT="0" distB="0" distL="0" distR="0" wp14:anchorId="531F6301" wp14:editId="0BD65D72">
          <wp:extent cx="3248167" cy="80926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Rodap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0059" cy="81222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7E401" w14:textId="77777777" w:rsidR="007A415E" w:rsidRDefault="007A415E" w:rsidP="00A820D3">
      <w:pPr>
        <w:spacing w:after="0" w:line="240" w:lineRule="auto"/>
      </w:pPr>
      <w:r>
        <w:separator/>
      </w:r>
    </w:p>
  </w:footnote>
  <w:footnote w:type="continuationSeparator" w:id="0">
    <w:p w14:paraId="63B4277E" w14:textId="77777777" w:rsidR="007A415E" w:rsidRDefault="007A415E" w:rsidP="00A82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3853B" w14:textId="1AFE6B0F" w:rsidR="007757FA" w:rsidRDefault="007757FA" w:rsidP="007757FA">
    <w:pPr>
      <w:pStyle w:val="Cabealho"/>
      <w:jc w:val="center"/>
    </w:pPr>
    <w:r>
      <w:rPr>
        <w:lang w:val="pt-BR" w:eastAsia="pt-BR"/>
      </w:rPr>
      <w:drawing>
        <wp:inline distT="0" distB="0" distL="0" distR="0" wp14:anchorId="2D5DD406" wp14:editId="275E15B0">
          <wp:extent cx="4551528" cy="873634"/>
          <wp:effectExtent l="0" t="0" r="1905"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Cabeçalho.png"/>
                  <pic:cNvPicPr/>
                </pic:nvPicPr>
                <pic:blipFill rotWithShape="1">
                  <a:blip r:embed="rId1" cstate="print">
                    <a:extLst>
                      <a:ext uri="{28A0092B-C50C-407E-A947-70E740481C1C}">
                        <a14:useLocalDpi xmlns:a14="http://schemas.microsoft.com/office/drawing/2010/main" val="0"/>
                      </a:ext>
                    </a:extLst>
                  </a:blip>
                  <a:srcRect t="8036" b="10106"/>
                  <a:stretch/>
                </pic:blipFill>
                <pic:spPr bwMode="auto">
                  <a:xfrm>
                    <a:off x="0" y="0"/>
                    <a:ext cx="4552105" cy="87374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C23"/>
    <w:multiLevelType w:val="hybridMultilevel"/>
    <w:tmpl w:val="8828FEEC"/>
    <w:lvl w:ilvl="0" w:tplc="609A7B74">
      <w:numFmt w:val="bullet"/>
      <w:lvlText w:val=""/>
      <w:lvlJc w:val="left"/>
      <w:pPr>
        <w:ind w:left="720" w:hanging="360"/>
      </w:pPr>
      <w:rPr>
        <w:rFonts w:ascii="Symbol" w:eastAsia="Calibri" w:hAnsi="Symbol"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8310AF"/>
    <w:multiLevelType w:val="hybridMultilevel"/>
    <w:tmpl w:val="50ECF28C"/>
    <w:lvl w:ilvl="0" w:tplc="694AA786">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7E65CB"/>
    <w:multiLevelType w:val="multilevel"/>
    <w:tmpl w:val="4EC09C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EC4DF0"/>
    <w:multiLevelType w:val="multilevel"/>
    <w:tmpl w:val="EFC04C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0F4B6A"/>
    <w:multiLevelType w:val="multilevel"/>
    <w:tmpl w:val="1706AB38"/>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580B6D"/>
    <w:multiLevelType w:val="hybridMultilevel"/>
    <w:tmpl w:val="BCFE005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216C5250"/>
    <w:multiLevelType w:val="hybridMultilevel"/>
    <w:tmpl w:val="87926830"/>
    <w:lvl w:ilvl="0" w:tplc="DDD4887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F0445FA"/>
    <w:multiLevelType w:val="hybridMultilevel"/>
    <w:tmpl w:val="A64E96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FE440CE"/>
    <w:multiLevelType w:val="multilevel"/>
    <w:tmpl w:val="6730340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45F2029"/>
    <w:multiLevelType w:val="multilevel"/>
    <w:tmpl w:val="B7E096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6A58F2"/>
    <w:multiLevelType w:val="multilevel"/>
    <w:tmpl w:val="22126460"/>
    <w:lvl w:ilvl="0">
      <w:start w:val="1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A18031B"/>
    <w:multiLevelType w:val="hybridMultilevel"/>
    <w:tmpl w:val="D12C24CC"/>
    <w:lvl w:ilvl="0" w:tplc="79D8CA7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B396E00"/>
    <w:multiLevelType w:val="hybridMultilevel"/>
    <w:tmpl w:val="E54657E2"/>
    <w:lvl w:ilvl="0" w:tplc="06E6027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E245A48"/>
    <w:multiLevelType w:val="multilevel"/>
    <w:tmpl w:val="EFC04C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89A16A8"/>
    <w:multiLevelType w:val="multilevel"/>
    <w:tmpl w:val="B5CE2E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6C1414FE"/>
    <w:multiLevelType w:val="multilevel"/>
    <w:tmpl w:val="EFC04C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1301DBB"/>
    <w:multiLevelType w:val="hybridMultilevel"/>
    <w:tmpl w:val="7BBC52CE"/>
    <w:lvl w:ilvl="0" w:tplc="E9F62CFE">
      <w:numFmt w:val="bullet"/>
      <w:lvlText w:val="-"/>
      <w:lvlJc w:val="left"/>
      <w:pPr>
        <w:ind w:left="720" w:hanging="360"/>
      </w:pPr>
      <w:rPr>
        <w:rFonts w:ascii="Times New Roman" w:eastAsia="Calibr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35E222A"/>
    <w:multiLevelType w:val="multilevel"/>
    <w:tmpl w:val="BE80DC0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B9C7314"/>
    <w:multiLevelType w:val="hybridMultilevel"/>
    <w:tmpl w:val="59D220DA"/>
    <w:lvl w:ilvl="0" w:tplc="C8B8BFCA">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EF97DC3"/>
    <w:multiLevelType w:val="multilevel"/>
    <w:tmpl w:val="9AAC1F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8"/>
  </w:num>
  <w:num w:numId="3">
    <w:abstractNumId w:val="17"/>
  </w:num>
  <w:num w:numId="4">
    <w:abstractNumId w:val="15"/>
  </w:num>
  <w:num w:numId="5">
    <w:abstractNumId w:val="5"/>
  </w:num>
  <w:num w:numId="6">
    <w:abstractNumId w:val="19"/>
  </w:num>
  <w:num w:numId="7">
    <w:abstractNumId w:val="0"/>
  </w:num>
  <w:num w:numId="8">
    <w:abstractNumId w:val="16"/>
  </w:num>
  <w:num w:numId="9">
    <w:abstractNumId w:val="12"/>
  </w:num>
  <w:num w:numId="10">
    <w:abstractNumId w:val="6"/>
  </w:num>
  <w:num w:numId="11">
    <w:abstractNumId w:val="1"/>
  </w:num>
  <w:num w:numId="12">
    <w:abstractNumId w:val="18"/>
  </w:num>
  <w:num w:numId="13">
    <w:abstractNumId w:val="13"/>
  </w:num>
  <w:num w:numId="14">
    <w:abstractNumId w:val="3"/>
  </w:num>
  <w:num w:numId="15">
    <w:abstractNumId w:val="4"/>
  </w:num>
  <w:num w:numId="16">
    <w:abstractNumId w:val="10"/>
  </w:num>
  <w:num w:numId="17">
    <w:abstractNumId w:val="2"/>
  </w:num>
  <w:num w:numId="18">
    <w:abstractNumId w:val="9"/>
  </w:num>
  <w:num w:numId="19">
    <w:abstractNumId w:val="1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9D9"/>
    <w:rsid w:val="00001236"/>
    <w:rsid w:val="0000688B"/>
    <w:rsid w:val="000075DE"/>
    <w:rsid w:val="00011694"/>
    <w:rsid w:val="00012685"/>
    <w:rsid w:val="00016AAC"/>
    <w:rsid w:val="00017475"/>
    <w:rsid w:val="00021725"/>
    <w:rsid w:val="00021C8B"/>
    <w:rsid w:val="0002339C"/>
    <w:rsid w:val="00023FF0"/>
    <w:rsid w:val="00024219"/>
    <w:rsid w:val="00024673"/>
    <w:rsid w:val="000249AD"/>
    <w:rsid w:val="00030B7C"/>
    <w:rsid w:val="000311DF"/>
    <w:rsid w:val="00031B0D"/>
    <w:rsid w:val="00032597"/>
    <w:rsid w:val="0003786E"/>
    <w:rsid w:val="000422D9"/>
    <w:rsid w:val="0004247B"/>
    <w:rsid w:val="000426E4"/>
    <w:rsid w:val="000459F2"/>
    <w:rsid w:val="00047783"/>
    <w:rsid w:val="000479F4"/>
    <w:rsid w:val="000501EE"/>
    <w:rsid w:val="00052A5F"/>
    <w:rsid w:val="00055700"/>
    <w:rsid w:val="00056D57"/>
    <w:rsid w:val="000608E5"/>
    <w:rsid w:val="000703AB"/>
    <w:rsid w:val="00071C5C"/>
    <w:rsid w:val="0007472A"/>
    <w:rsid w:val="000761DF"/>
    <w:rsid w:val="00080B58"/>
    <w:rsid w:val="000816C3"/>
    <w:rsid w:val="000877D7"/>
    <w:rsid w:val="000925AB"/>
    <w:rsid w:val="000A1424"/>
    <w:rsid w:val="000A16AB"/>
    <w:rsid w:val="000A4F55"/>
    <w:rsid w:val="000A5530"/>
    <w:rsid w:val="000A568F"/>
    <w:rsid w:val="000A6B9A"/>
    <w:rsid w:val="000A7D2C"/>
    <w:rsid w:val="000B50C5"/>
    <w:rsid w:val="000B5B1F"/>
    <w:rsid w:val="000B6207"/>
    <w:rsid w:val="000C23C4"/>
    <w:rsid w:val="000C5D86"/>
    <w:rsid w:val="000C7127"/>
    <w:rsid w:val="000D1099"/>
    <w:rsid w:val="000D55C2"/>
    <w:rsid w:val="000D5775"/>
    <w:rsid w:val="000D61F6"/>
    <w:rsid w:val="000E035B"/>
    <w:rsid w:val="000E5390"/>
    <w:rsid w:val="000E5C40"/>
    <w:rsid w:val="000E70B4"/>
    <w:rsid w:val="000F270C"/>
    <w:rsid w:val="000F2EBF"/>
    <w:rsid w:val="000F4451"/>
    <w:rsid w:val="00100C27"/>
    <w:rsid w:val="00101571"/>
    <w:rsid w:val="00106B77"/>
    <w:rsid w:val="0011083B"/>
    <w:rsid w:val="0011180D"/>
    <w:rsid w:val="0011464A"/>
    <w:rsid w:val="001247E3"/>
    <w:rsid w:val="0013065E"/>
    <w:rsid w:val="0013204C"/>
    <w:rsid w:val="0013380D"/>
    <w:rsid w:val="00133A3F"/>
    <w:rsid w:val="0013453B"/>
    <w:rsid w:val="001424D4"/>
    <w:rsid w:val="00144470"/>
    <w:rsid w:val="00145D4B"/>
    <w:rsid w:val="00151664"/>
    <w:rsid w:val="00151BC1"/>
    <w:rsid w:val="0015758F"/>
    <w:rsid w:val="0015778C"/>
    <w:rsid w:val="00160C64"/>
    <w:rsid w:val="001623A0"/>
    <w:rsid w:val="001629A2"/>
    <w:rsid w:val="001629BE"/>
    <w:rsid w:val="0016432C"/>
    <w:rsid w:val="00164D42"/>
    <w:rsid w:val="00165580"/>
    <w:rsid w:val="001709EB"/>
    <w:rsid w:val="00172C26"/>
    <w:rsid w:val="00173198"/>
    <w:rsid w:val="00173366"/>
    <w:rsid w:val="00174140"/>
    <w:rsid w:val="00175D7F"/>
    <w:rsid w:val="00181B57"/>
    <w:rsid w:val="0019310F"/>
    <w:rsid w:val="00193255"/>
    <w:rsid w:val="00195D2B"/>
    <w:rsid w:val="001A044B"/>
    <w:rsid w:val="001A1B09"/>
    <w:rsid w:val="001B1050"/>
    <w:rsid w:val="001B2312"/>
    <w:rsid w:val="001B28A1"/>
    <w:rsid w:val="001B4D9F"/>
    <w:rsid w:val="001B5958"/>
    <w:rsid w:val="001B798E"/>
    <w:rsid w:val="001C1DBD"/>
    <w:rsid w:val="001C3D01"/>
    <w:rsid w:val="001C5FC2"/>
    <w:rsid w:val="001C5FFB"/>
    <w:rsid w:val="001D130B"/>
    <w:rsid w:val="001D51CE"/>
    <w:rsid w:val="001D6757"/>
    <w:rsid w:val="001D68F7"/>
    <w:rsid w:val="001D7275"/>
    <w:rsid w:val="001E0334"/>
    <w:rsid w:val="001E514A"/>
    <w:rsid w:val="001F2A83"/>
    <w:rsid w:val="001F63E5"/>
    <w:rsid w:val="002034FD"/>
    <w:rsid w:val="00206DB7"/>
    <w:rsid w:val="002106CB"/>
    <w:rsid w:val="00210D2A"/>
    <w:rsid w:val="002127FA"/>
    <w:rsid w:val="002130DE"/>
    <w:rsid w:val="002153CA"/>
    <w:rsid w:val="0021582D"/>
    <w:rsid w:val="00215B72"/>
    <w:rsid w:val="00216774"/>
    <w:rsid w:val="00227E8C"/>
    <w:rsid w:val="00227EE0"/>
    <w:rsid w:val="00230640"/>
    <w:rsid w:val="00232D87"/>
    <w:rsid w:val="00232EAF"/>
    <w:rsid w:val="00236713"/>
    <w:rsid w:val="002367FA"/>
    <w:rsid w:val="002369D2"/>
    <w:rsid w:val="00240984"/>
    <w:rsid w:val="00251E69"/>
    <w:rsid w:val="00257551"/>
    <w:rsid w:val="002668BD"/>
    <w:rsid w:val="00266F8B"/>
    <w:rsid w:val="00267CB5"/>
    <w:rsid w:val="002727A3"/>
    <w:rsid w:val="00272EE9"/>
    <w:rsid w:val="002741D1"/>
    <w:rsid w:val="00274812"/>
    <w:rsid w:val="002757DC"/>
    <w:rsid w:val="00276535"/>
    <w:rsid w:val="00277B12"/>
    <w:rsid w:val="0028267E"/>
    <w:rsid w:val="00282686"/>
    <w:rsid w:val="002828BB"/>
    <w:rsid w:val="002866A6"/>
    <w:rsid w:val="0028734C"/>
    <w:rsid w:val="00296F7A"/>
    <w:rsid w:val="00297325"/>
    <w:rsid w:val="002A1A32"/>
    <w:rsid w:val="002A1A73"/>
    <w:rsid w:val="002A1EC0"/>
    <w:rsid w:val="002A2FF6"/>
    <w:rsid w:val="002A541F"/>
    <w:rsid w:val="002A5A19"/>
    <w:rsid w:val="002A73EA"/>
    <w:rsid w:val="002B238D"/>
    <w:rsid w:val="002B48EA"/>
    <w:rsid w:val="002B5723"/>
    <w:rsid w:val="002C398D"/>
    <w:rsid w:val="002C5488"/>
    <w:rsid w:val="002C6003"/>
    <w:rsid w:val="002C6F46"/>
    <w:rsid w:val="002D499B"/>
    <w:rsid w:val="002E08E6"/>
    <w:rsid w:val="002E18F0"/>
    <w:rsid w:val="002E23F3"/>
    <w:rsid w:val="002E2B52"/>
    <w:rsid w:val="002E3DA9"/>
    <w:rsid w:val="002E6B3A"/>
    <w:rsid w:val="002E78C1"/>
    <w:rsid w:val="002E7E0C"/>
    <w:rsid w:val="002F1438"/>
    <w:rsid w:val="002F17F4"/>
    <w:rsid w:val="002F1EB6"/>
    <w:rsid w:val="002F2230"/>
    <w:rsid w:val="002F32C8"/>
    <w:rsid w:val="003015F5"/>
    <w:rsid w:val="00302B1B"/>
    <w:rsid w:val="0030347A"/>
    <w:rsid w:val="003063D0"/>
    <w:rsid w:val="00315B08"/>
    <w:rsid w:val="00316FA7"/>
    <w:rsid w:val="003179DF"/>
    <w:rsid w:val="003211AE"/>
    <w:rsid w:val="00331AEA"/>
    <w:rsid w:val="00331DF9"/>
    <w:rsid w:val="00340096"/>
    <w:rsid w:val="00346EF1"/>
    <w:rsid w:val="0034727C"/>
    <w:rsid w:val="0034751E"/>
    <w:rsid w:val="00351A80"/>
    <w:rsid w:val="00353178"/>
    <w:rsid w:val="00355C37"/>
    <w:rsid w:val="00357ECD"/>
    <w:rsid w:val="00360F7D"/>
    <w:rsid w:val="00361341"/>
    <w:rsid w:val="0036137D"/>
    <w:rsid w:val="00362E25"/>
    <w:rsid w:val="00370660"/>
    <w:rsid w:val="003735A7"/>
    <w:rsid w:val="00373952"/>
    <w:rsid w:val="00375648"/>
    <w:rsid w:val="00375C34"/>
    <w:rsid w:val="003761F8"/>
    <w:rsid w:val="0038321C"/>
    <w:rsid w:val="0038698D"/>
    <w:rsid w:val="00387248"/>
    <w:rsid w:val="00397262"/>
    <w:rsid w:val="00397BD3"/>
    <w:rsid w:val="003A1B38"/>
    <w:rsid w:val="003A1BF6"/>
    <w:rsid w:val="003A6520"/>
    <w:rsid w:val="003B1460"/>
    <w:rsid w:val="003B2E28"/>
    <w:rsid w:val="003B378A"/>
    <w:rsid w:val="003B565E"/>
    <w:rsid w:val="003B7D90"/>
    <w:rsid w:val="003D0657"/>
    <w:rsid w:val="003D4C0E"/>
    <w:rsid w:val="003E1825"/>
    <w:rsid w:val="003E2AD7"/>
    <w:rsid w:val="003E5A4A"/>
    <w:rsid w:val="003E72BE"/>
    <w:rsid w:val="003E7EF1"/>
    <w:rsid w:val="003F0AB8"/>
    <w:rsid w:val="003F4198"/>
    <w:rsid w:val="003F6143"/>
    <w:rsid w:val="003F73C4"/>
    <w:rsid w:val="00403BCA"/>
    <w:rsid w:val="00404DA4"/>
    <w:rsid w:val="004122B9"/>
    <w:rsid w:val="0041449D"/>
    <w:rsid w:val="0041471D"/>
    <w:rsid w:val="004147C3"/>
    <w:rsid w:val="004151BA"/>
    <w:rsid w:val="004157E0"/>
    <w:rsid w:val="00417CCA"/>
    <w:rsid w:val="00417F83"/>
    <w:rsid w:val="004223BC"/>
    <w:rsid w:val="00425E8F"/>
    <w:rsid w:val="00433004"/>
    <w:rsid w:val="00440315"/>
    <w:rsid w:val="004441DF"/>
    <w:rsid w:val="00446B2F"/>
    <w:rsid w:val="0045173E"/>
    <w:rsid w:val="004535BE"/>
    <w:rsid w:val="00453AFE"/>
    <w:rsid w:val="00455A05"/>
    <w:rsid w:val="00455D34"/>
    <w:rsid w:val="00461C95"/>
    <w:rsid w:val="0046212E"/>
    <w:rsid w:val="0046214F"/>
    <w:rsid w:val="0046322F"/>
    <w:rsid w:val="004661C2"/>
    <w:rsid w:val="00466914"/>
    <w:rsid w:val="00472CAF"/>
    <w:rsid w:val="004734C0"/>
    <w:rsid w:val="004745F4"/>
    <w:rsid w:val="004759BC"/>
    <w:rsid w:val="0047789C"/>
    <w:rsid w:val="00480125"/>
    <w:rsid w:val="004801B4"/>
    <w:rsid w:val="00482CEC"/>
    <w:rsid w:val="0048322D"/>
    <w:rsid w:val="004837AE"/>
    <w:rsid w:val="00484597"/>
    <w:rsid w:val="00485056"/>
    <w:rsid w:val="004851C6"/>
    <w:rsid w:val="00485CB1"/>
    <w:rsid w:val="0049046D"/>
    <w:rsid w:val="00493DEC"/>
    <w:rsid w:val="0049458C"/>
    <w:rsid w:val="0049525E"/>
    <w:rsid w:val="004A4CC6"/>
    <w:rsid w:val="004A6DC4"/>
    <w:rsid w:val="004B7555"/>
    <w:rsid w:val="004C7095"/>
    <w:rsid w:val="004D1C4A"/>
    <w:rsid w:val="004D4183"/>
    <w:rsid w:val="004E3B23"/>
    <w:rsid w:val="004E57D0"/>
    <w:rsid w:val="004E5A8F"/>
    <w:rsid w:val="004E6696"/>
    <w:rsid w:val="004F00E2"/>
    <w:rsid w:val="004F51D5"/>
    <w:rsid w:val="004F54B0"/>
    <w:rsid w:val="00500F60"/>
    <w:rsid w:val="00503FB2"/>
    <w:rsid w:val="005041D4"/>
    <w:rsid w:val="00507927"/>
    <w:rsid w:val="00507C5B"/>
    <w:rsid w:val="00511B20"/>
    <w:rsid w:val="0051352D"/>
    <w:rsid w:val="0051382F"/>
    <w:rsid w:val="00521EDC"/>
    <w:rsid w:val="005279F7"/>
    <w:rsid w:val="0053050A"/>
    <w:rsid w:val="00532026"/>
    <w:rsid w:val="005334D7"/>
    <w:rsid w:val="005372AD"/>
    <w:rsid w:val="00537BA9"/>
    <w:rsid w:val="005410F6"/>
    <w:rsid w:val="0054129B"/>
    <w:rsid w:val="00543431"/>
    <w:rsid w:val="00545A9C"/>
    <w:rsid w:val="00546657"/>
    <w:rsid w:val="0056273A"/>
    <w:rsid w:val="00565B2D"/>
    <w:rsid w:val="005725DE"/>
    <w:rsid w:val="00572F68"/>
    <w:rsid w:val="00581204"/>
    <w:rsid w:val="00581845"/>
    <w:rsid w:val="00581A8B"/>
    <w:rsid w:val="00591A32"/>
    <w:rsid w:val="00593BB0"/>
    <w:rsid w:val="005945D7"/>
    <w:rsid w:val="00595CEB"/>
    <w:rsid w:val="00595F95"/>
    <w:rsid w:val="00597111"/>
    <w:rsid w:val="005B0421"/>
    <w:rsid w:val="005B1EE0"/>
    <w:rsid w:val="005B5272"/>
    <w:rsid w:val="005B6DE5"/>
    <w:rsid w:val="005C23AE"/>
    <w:rsid w:val="005C2BA0"/>
    <w:rsid w:val="005C6591"/>
    <w:rsid w:val="005C6D9B"/>
    <w:rsid w:val="005D410C"/>
    <w:rsid w:val="005D4C5E"/>
    <w:rsid w:val="005E33E5"/>
    <w:rsid w:val="005E4126"/>
    <w:rsid w:val="005F5988"/>
    <w:rsid w:val="005F644F"/>
    <w:rsid w:val="00600DA5"/>
    <w:rsid w:val="00600E92"/>
    <w:rsid w:val="00610F11"/>
    <w:rsid w:val="00612250"/>
    <w:rsid w:val="00613972"/>
    <w:rsid w:val="00617600"/>
    <w:rsid w:val="00626202"/>
    <w:rsid w:val="0063096C"/>
    <w:rsid w:val="0063297E"/>
    <w:rsid w:val="00634445"/>
    <w:rsid w:val="00635874"/>
    <w:rsid w:val="00636E95"/>
    <w:rsid w:val="00651811"/>
    <w:rsid w:val="00657F96"/>
    <w:rsid w:val="0066382D"/>
    <w:rsid w:val="006664AC"/>
    <w:rsid w:val="006728C5"/>
    <w:rsid w:val="00676B3B"/>
    <w:rsid w:val="006809A8"/>
    <w:rsid w:val="006849A1"/>
    <w:rsid w:val="00692BD9"/>
    <w:rsid w:val="0069703F"/>
    <w:rsid w:val="006A0191"/>
    <w:rsid w:val="006A220D"/>
    <w:rsid w:val="006A5C07"/>
    <w:rsid w:val="006B2927"/>
    <w:rsid w:val="006B7953"/>
    <w:rsid w:val="006C06F7"/>
    <w:rsid w:val="006C5BC7"/>
    <w:rsid w:val="006C64DC"/>
    <w:rsid w:val="006C6C0B"/>
    <w:rsid w:val="006C6DCD"/>
    <w:rsid w:val="006C7BA3"/>
    <w:rsid w:val="006D6F72"/>
    <w:rsid w:val="006E1783"/>
    <w:rsid w:val="006E1D9D"/>
    <w:rsid w:val="006E6E48"/>
    <w:rsid w:val="006E7382"/>
    <w:rsid w:val="006F04E4"/>
    <w:rsid w:val="006F3427"/>
    <w:rsid w:val="006F6E1C"/>
    <w:rsid w:val="006F7334"/>
    <w:rsid w:val="00700C5D"/>
    <w:rsid w:val="0070140A"/>
    <w:rsid w:val="00705819"/>
    <w:rsid w:val="00705D10"/>
    <w:rsid w:val="007116B7"/>
    <w:rsid w:val="00713491"/>
    <w:rsid w:val="007167C9"/>
    <w:rsid w:val="00716EE2"/>
    <w:rsid w:val="007177D4"/>
    <w:rsid w:val="007201A1"/>
    <w:rsid w:val="00721DB2"/>
    <w:rsid w:val="007350D4"/>
    <w:rsid w:val="00741C4D"/>
    <w:rsid w:val="00742A5D"/>
    <w:rsid w:val="00744681"/>
    <w:rsid w:val="00744DA7"/>
    <w:rsid w:val="0074570E"/>
    <w:rsid w:val="007564AC"/>
    <w:rsid w:val="00761641"/>
    <w:rsid w:val="00761649"/>
    <w:rsid w:val="00762A8C"/>
    <w:rsid w:val="007637A3"/>
    <w:rsid w:val="007706F4"/>
    <w:rsid w:val="007757FA"/>
    <w:rsid w:val="007844AB"/>
    <w:rsid w:val="007911A6"/>
    <w:rsid w:val="007951FC"/>
    <w:rsid w:val="007A415E"/>
    <w:rsid w:val="007A72BD"/>
    <w:rsid w:val="007B081A"/>
    <w:rsid w:val="007B16AA"/>
    <w:rsid w:val="007B2E40"/>
    <w:rsid w:val="007B4BC4"/>
    <w:rsid w:val="007B4EFA"/>
    <w:rsid w:val="007B5975"/>
    <w:rsid w:val="007C02C4"/>
    <w:rsid w:val="007C16C6"/>
    <w:rsid w:val="007C5AD9"/>
    <w:rsid w:val="007C7D56"/>
    <w:rsid w:val="007D1E2F"/>
    <w:rsid w:val="007D3039"/>
    <w:rsid w:val="007D465F"/>
    <w:rsid w:val="007D4C5E"/>
    <w:rsid w:val="007D55F7"/>
    <w:rsid w:val="007E24A0"/>
    <w:rsid w:val="007E265D"/>
    <w:rsid w:val="007E4C79"/>
    <w:rsid w:val="007E600F"/>
    <w:rsid w:val="007F20C9"/>
    <w:rsid w:val="007F2490"/>
    <w:rsid w:val="007F2D10"/>
    <w:rsid w:val="007F3226"/>
    <w:rsid w:val="007F3F6F"/>
    <w:rsid w:val="00802BCF"/>
    <w:rsid w:val="00805623"/>
    <w:rsid w:val="0080624D"/>
    <w:rsid w:val="00806923"/>
    <w:rsid w:val="0081243F"/>
    <w:rsid w:val="00813A18"/>
    <w:rsid w:val="00815423"/>
    <w:rsid w:val="00825377"/>
    <w:rsid w:val="008255B5"/>
    <w:rsid w:val="008323AB"/>
    <w:rsid w:val="00833ADD"/>
    <w:rsid w:val="0083476B"/>
    <w:rsid w:val="008404C3"/>
    <w:rsid w:val="008418DD"/>
    <w:rsid w:val="008426E0"/>
    <w:rsid w:val="00842B54"/>
    <w:rsid w:val="00842FC7"/>
    <w:rsid w:val="008442D3"/>
    <w:rsid w:val="00844D08"/>
    <w:rsid w:val="008450F4"/>
    <w:rsid w:val="0084599F"/>
    <w:rsid w:val="00855CE4"/>
    <w:rsid w:val="00861D6F"/>
    <w:rsid w:val="00865AAD"/>
    <w:rsid w:val="008677D8"/>
    <w:rsid w:val="00873E3B"/>
    <w:rsid w:val="00876A1D"/>
    <w:rsid w:val="00877581"/>
    <w:rsid w:val="00881025"/>
    <w:rsid w:val="008813F7"/>
    <w:rsid w:val="00883FBF"/>
    <w:rsid w:val="00886617"/>
    <w:rsid w:val="00886A17"/>
    <w:rsid w:val="00891FAA"/>
    <w:rsid w:val="00896AA4"/>
    <w:rsid w:val="00897B3F"/>
    <w:rsid w:val="008A0058"/>
    <w:rsid w:val="008A519A"/>
    <w:rsid w:val="008A5545"/>
    <w:rsid w:val="008B19F2"/>
    <w:rsid w:val="008C176F"/>
    <w:rsid w:val="008C2575"/>
    <w:rsid w:val="008C580A"/>
    <w:rsid w:val="008C646E"/>
    <w:rsid w:val="008D06CB"/>
    <w:rsid w:val="008D1A5B"/>
    <w:rsid w:val="008D5FC4"/>
    <w:rsid w:val="008D75BE"/>
    <w:rsid w:val="008E114A"/>
    <w:rsid w:val="008E11F2"/>
    <w:rsid w:val="008E2A57"/>
    <w:rsid w:val="008E5438"/>
    <w:rsid w:val="008E6147"/>
    <w:rsid w:val="008E63D8"/>
    <w:rsid w:val="008E7B2D"/>
    <w:rsid w:val="008E7DAE"/>
    <w:rsid w:val="009016B9"/>
    <w:rsid w:val="009112CB"/>
    <w:rsid w:val="0091187F"/>
    <w:rsid w:val="00912524"/>
    <w:rsid w:val="0091768F"/>
    <w:rsid w:val="009205AA"/>
    <w:rsid w:val="009215FA"/>
    <w:rsid w:val="00921C82"/>
    <w:rsid w:val="00922862"/>
    <w:rsid w:val="00922E7B"/>
    <w:rsid w:val="00923A64"/>
    <w:rsid w:val="00925A04"/>
    <w:rsid w:val="00925E87"/>
    <w:rsid w:val="00926C74"/>
    <w:rsid w:val="00927787"/>
    <w:rsid w:val="00933439"/>
    <w:rsid w:val="009344B8"/>
    <w:rsid w:val="00934A77"/>
    <w:rsid w:val="00936216"/>
    <w:rsid w:val="00936B63"/>
    <w:rsid w:val="009454E9"/>
    <w:rsid w:val="0094632F"/>
    <w:rsid w:val="00947A5A"/>
    <w:rsid w:val="0095210E"/>
    <w:rsid w:val="0095384E"/>
    <w:rsid w:val="00960085"/>
    <w:rsid w:val="00962677"/>
    <w:rsid w:val="00962BA5"/>
    <w:rsid w:val="0096300A"/>
    <w:rsid w:val="00964239"/>
    <w:rsid w:val="00964EF6"/>
    <w:rsid w:val="00965A90"/>
    <w:rsid w:val="00966E13"/>
    <w:rsid w:val="00966EDB"/>
    <w:rsid w:val="00966F2B"/>
    <w:rsid w:val="00976432"/>
    <w:rsid w:val="00977491"/>
    <w:rsid w:val="0098262A"/>
    <w:rsid w:val="00984945"/>
    <w:rsid w:val="00985E4E"/>
    <w:rsid w:val="009865DC"/>
    <w:rsid w:val="0098750C"/>
    <w:rsid w:val="009A5C52"/>
    <w:rsid w:val="009A6879"/>
    <w:rsid w:val="009A6A71"/>
    <w:rsid w:val="009A6B5D"/>
    <w:rsid w:val="009A70A9"/>
    <w:rsid w:val="009B0EF7"/>
    <w:rsid w:val="009B148A"/>
    <w:rsid w:val="009B5DFA"/>
    <w:rsid w:val="009C02B9"/>
    <w:rsid w:val="009C3C46"/>
    <w:rsid w:val="009C3F92"/>
    <w:rsid w:val="009E0547"/>
    <w:rsid w:val="009E356A"/>
    <w:rsid w:val="009E3DE8"/>
    <w:rsid w:val="009E56AA"/>
    <w:rsid w:val="009E67AE"/>
    <w:rsid w:val="009F0646"/>
    <w:rsid w:val="009F4B3F"/>
    <w:rsid w:val="009F584E"/>
    <w:rsid w:val="009F6ECB"/>
    <w:rsid w:val="009F79E2"/>
    <w:rsid w:val="00A00E5E"/>
    <w:rsid w:val="00A041E6"/>
    <w:rsid w:val="00A065E0"/>
    <w:rsid w:val="00A11164"/>
    <w:rsid w:val="00A14291"/>
    <w:rsid w:val="00A1719D"/>
    <w:rsid w:val="00A17FDA"/>
    <w:rsid w:val="00A232C9"/>
    <w:rsid w:val="00A23B8A"/>
    <w:rsid w:val="00A2404D"/>
    <w:rsid w:val="00A25FC0"/>
    <w:rsid w:val="00A33D7E"/>
    <w:rsid w:val="00A34427"/>
    <w:rsid w:val="00A35995"/>
    <w:rsid w:val="00A35AB0"/>
    <w:rsid w:val="00A4097B"/>
    <w:rsid w:val="00A4516D"/>
    <w:rsid w:val="00A50995"/>
    <w:rsid w:val="00A53956"/>
    <w:rsid w:val="00A562E8"/>
    <w:rsid w:val="00A56EDF"/>
    <w:rsid w:val="00A600DD"/>
    <w:rsid w:val="00A6029F"/>
    <w:rsid w:val="00A61FCD"/>
    <w:rsid w:val="00A6465C"/>
    <w:rsid w:val="00A6520E"/>
    <w:rsid w:val="00A65B3E"/>
    <w:rsid w:val="00A70E86"/>
    <w:rsid w:val="00A77617"/>
    <w:rsid w:val="00A812EE"/>
    <w:rsid w:val="00A820D3"/>
    <w:rsid w:val="00A83886"/>
    <w:rsid w:val="00A927CC"/>
    <w:rsid w:val="00A95163"/>
    <w:rsid w:val="00A95859"/>
    <w:rsid w:val="00A97CE8"/>
    <w:rsid w:val="00AA05BB"/>
    <w:rsid w:val="00AA2A72"/>
    <w:rsid w:val="00AA46C2"/>
    <w:rsid w:val="00AA545F"/>
    <w:rsid w:val="00AB24E0"/>
    <w:rsid w:val="00AB2945"/>
    <w:rsid w:val="00AB358A"/>
    <w:rsid w:val="00AB4B11"/>
    <w:rsid w:val="00AC542C"/>
    <w:rsid w:val="00AD1E4E"/>
    <w:rsid w:val="00AD3454"/>
    <w:rsid w:val="00AD3AAD"/>
    <w:rsid w:val="00AD4B1A"/>
    <w:rsid w:val="00AD5189"/>
    <w:rsid w:val="00AD5CDF"/>
    <w:rsid w:val="00AE1BF0"/>
    <w:rsid w:val="00AE3800"/>
    <w:rsid w:val="00AE39BF"/>
    <w:rsid w:val="00AE5ACC"/>
    <w:rsid w:val="00AF0E5E"/>
    <w:rsid w:val="00AF272B"/>
    <w:rsid w:val="00AF3626"/>
    <w:rsid w:val="00AF3BC7"/>
    <w:rsid w:val="00AF44E0"/>
    <w:rsid w:val="00AF61C9"/>
    <w:rsid w:val="00B00671"/>
    <w:rsid w:val="00B04C2B"/>
    <w:rsid w:val="00B06C9E"/>
    <w:rsid w:val="00B10138"/>
    <w:rsid w:val="00B10D4A"/>
    <w:rsid w:val="00B11915"/>
    <w:rsid w:val="00B12521"/>
    <w:rsid w:val="00B125F6"/>
    <w:rsid w:val="00B13429"/>
    <w:rsid w:val="00B2187B"/>
    <w:rsid w:val="00B22639"/>
    <w:rsid w:val="00B24A89"/>
    <w:rsid w:val="00B25605"/>
    <w:rsid w:val="00B3552D"/>
    <w:rsid w:val="00B35DFB"/>
    <w:rsid w:val="00B45085"/>
    <w:rsid w:val="00B51B90"/>
    <w:rsid w:val="00B51C4A"/>
    <w:rsid w:val="00B5303F"/>
    <w:rsid w:val="00B532D1"/>
    <w:rsid w:val="00B573B2"/>
    <w:rsid w:val="00B70D67"/>
    <w:rsid w:val="00B714C6"/>
    <w:rsid w:val="00B71AF5"/>
    <w:rsid w:val="00B74F01"/>
    <w:rsid w:val="00B75331"/>
    <w:rsid w:val="00B801BC"/>
    <w:rsid w:val="00B81A85"/>
    <w:rsid w:val="00B83178"/>
    <w:rsid w:val="00B837FD"/>
    <w:rsid w:val="00B8417A"/>
    <w:rsid w:val="00B8577D"/>
    <w:rsid w:val="00B948EA"/>
    <w:rsid w:val="00B966E5"/>
    <w:rsid w:val="00B96A63"/>
    <w:rsid w:val="00BA1B19"/>
    <w:rsid w:val="00BA36CF"/>
    <w:rsid w:val="00BA3DF9"/>
    <w:rsid w:val="00BA5D51"/>
    <w:rsid w:val="00BA5E0B"/>
    <w:rsid w:val="00BB18E3"/>
    <w:rsid w:val="00BB582E"/>
    <w:rsid w:val="00BC012E"/>
    <w:rsid w:val="00BC117D"/>
    <w:rsid w:val="00BC1B9B"/>
    <w:rsid w:val="00BC3E84"/>
    <w:rsid w:val="00BC489D"/>
    <w:rsid w:val="00BC5ACF"/>
    <w:rsid w:val="00BE2078"/>
    <w:rsid w:val="00BE43F9"/>
    <w:rsid w:val="00BE463F"/>
    <w:rsid w:val="00BE6274"/>
    <w:rsid w:val="00BF02D8"/>
    <w:rsid w:val="00BF0C9C"/>
    <w:rsid w:val="00BF5A9D"/>
    <w:rsid w:val="00BF7B06"/>
    <w:rsid w:val="00BF7D15"/>
    <w:rsid w:val="00BF7D65"/>
    <w:rsid w:val="00C051D1"/>
    <w:rsid w:val="00C05D60"/>
    <w:rsid w:val="00C14E24"/>
    <w:rsid w:val="00C17756"/>
    <w:rsid w:val="00C20F91"/>
    <w:rsid w:val="00C22DA2"/>
    <w:rsid w:val="00C23CC9"/>
    <w:rsid w:val="00C245B7"/>
    <w:rsid w:val="00C26687"/>
    <w:rsid w:val="00C2775E"/>
    <w:rsid w:val="00C36FC0"/>
    <w:rsid w:val="00C404FA"/>
    <w:rsid w:val="00C44A1E"/>
    <w:rsid w:val="00C476F1"/>
    <w:rsid w:val="00C5065B"/>
    <w:rsid w:val="00C51D7D"/>
    <w:rsid w:val="00C52E29"/>
    <w:rsid w:val="00C5511D"/>
    <w:rsid w:val="00C606F3"/>
    <w:rsid w:val="00C62690"/>
    <w:rsid w:val="00C65747"/>
    <w:rsid w:val="00C67A11"/>
    <w:rsid w:val="00C70ED1"/>
    <w:rsid w:val="00C759F7"/>
    <w:rsid w:val="00C77158"/>
    <w:rsid w:val="00C80327"/>
    <w:rsid w:val="00C82DBE"/>
    <w:rsid w:val="00C84C7E"/>
    <w:rsid w:val="00C91DE9"/>
    <w:rsid w:val="00C92A03"/>
    <w:rsid w:val="00C93D9C"/>
    <w:rsid w:val="00C968E9"/>
    <w:rsid w:val="00C97D9F"/>
    <w:rsid w:val="00CA1F97"/>
    <w:rsid w:val="00CA1FEE"/>
    <w:rsid w:val="00CA3C59"/>
    <w:rsid w:val="00CA5789"/>
    <w:rsid w:val="00CB30C3"/>
    <w:rsid w:val="00CB6925"/>
    <w:rsid w:val="00CC20AF"/>
    <w:rsid w:val="00CC304F"/>
    <w:rsid w:val="00CC3C4F"/>
    <w:rsid w:val="00CC6907"/>
    <w:rsid w:val="00CD05D0"/>
    <w:rsid w:val="00CD4D0C"/>
    <w:rsid w:val="00CD5F9F"/>
    <w:rsid w:val="00CD6E2A"/>
    <w:rsid w:val="00CE127C"/>
    <w:rsid w:val="00CE1DE0"/>
    <w:rsid w:val="00CE2EED"/>
    <w:rsid w:val="00CE5CE0"/>
    <w:rsid w:val="00CE7F43"/>
    <w:rsid w:val="00D008E7"/>
    <w:rsid w:val="00D0276B"/>
    <w:rsid w:val="00D07FF2"/>
    <w:rsid w:val="00D10869"/>
    <w:rsid w:val="00D11E82"/>
    <w:rsid w:val="00D1330A"/>
    <w:rsid w:val="00D13E54"/>
    <w:rsid w:val="00D14352"/>
    <w:rsid w:val="00D14DC7"/>
    <w:rsid w:val="00D15334"/>
    <w:rsid w:val="00D16BE6"/>
    <w:rsid w:val="00D21313"/>
    <w:rsid w:val="00D2504C"/>
    <w:rsid w:val="00D258CD"/>
    <w:rsid w:val="00D26A79"/>
    <w:rsid w:val="00D26BD3"/>
    <w:rsid w:val="00D27730"/>
    <w:rsid w:val="00D31004"/>
    <w:rsid w:val="00D32BC8"/>
    <w:rsid w:val="00D3324C"/>
    <w:rsid w:val="00D3519E"/>
    <w:rsid w:val="00D35291"/>
    <w:rsid w:val="00D366FF"/>
    <w:rsid w:val="00D42FE4"/>
    <w:rsid w:val="00D474D8"/>
    <w:rsid w:val="00D53B22"/>
    <w:rsid w:val="00D56AE7"/>
    <w:rsid w:val="00D62112"/>
    <w:rsid w:val="00D6233C"/>
    <w:rsid w:val="00D66188"/>
    <w:rsid w:val="00D66AC2"/>
    <w:rsid w:val="00D755F9"/>
    <w:rsid w:val="00D76131"/>
    <w:rsid w:val="00D77794"/>
    <w:rsid w:val="00D8075F"/>
    <w:rsid w:val="00D84878"/>
    <w:rsid w:val="00D8727B"/>
    <w:rsid w:val="00D91DB9"/>
    <w:rsid w:val="00D935C3"/>
    <w:rsid w:val="00D93641"/>
    <w:rsid w:val="00D9600F"/>
    <w:rsid w:val="00D978EC"/>
    <w:rsid w:val="00DA6273"/>
    <w:rsid w:val="00DB0492"/>
    <w:rsid w:val="00DB0D07"/>
    <w:rsid w:val="00DB0D8D"/>
    <w:rsid w:val="00DB239E"/>
    <w:rsid w:val="00DB4433"/>
    <w:rsid w:val="00DB4C94"/>
    <w:rsid w:val="00DB5E01"/>
    <w:rsid w:val="00DC01DB"/>
    <w:rsid w:val="00DC2BD8"/>
    <w:rsid w:val="00DC5801"/>
    <w:rsid w:val="00DC666B"/>
    <w:rsid w:val="00DC6B0D"/>
    <w:rsid w:val="00DD1980"/>
    <w:rsid w:val="00DD1BF2"/>
    <w:rsid w:val="00DD268A"/>
    <w:rsid w:val="00DD32A4"/>
    <w:rsid w:val="00DD635D"/>
    <w:rsid w:val="00DD668E"/>
    <w:rsid w:val="00DD6B0D"/>
    <w:rsid w:val="00DE1F3B"/>
    <w:rsid w:val="00DE7C47"/>
    <w:rsid w:val="00DE7E7B"/>
    <w:rsid w:val="00DF221B"/>
    <w:rsid w:val="00DF431B"/>
    <w:rsid w:val="00E0328E"/>
    <w:rsid w:val="00E042C9"/>
    <w:rsid w:val="00E0535D"/>
    <w:rsid w:val="00E05756"/>
    <w:rsid w:val="00E07830"/>
    <w:rsid w:val="00E07E60"/>
    <w:rsid w:val="00E13198"/>
    <w:rsid w:val="00E15808"/>
    <w:rsid w:val="00E15BB2"/>
    <w:rsid w:val="00E1657F"/>
    <w:rsid w:val="00E1752D"/>
    <w:rsid w:val="00E17962"/>
    <w:rsid w:val="00E20102"/>
    <w:rsid w:val="00E2552F"/>
    <w:rsid w:val="00E26C5F"/>
    <w:rsid w:val="00E279C7"/>
    <w:rsid w:val="00E30887"/>
    <w:rsid w:val="00E3235A"/>
    <w:rsid w:val="00E32D4F"/>
    <w:rsid w:val="00E342A5"/>
    <w:rsid w:val="00E42939"/>
    <w:rsid w:val="00E4369D"/>
    <w:rsid w:val="00E4373D"/>
    <w:rsid w:val="00E50310"/>
    <w:rsid w:val="00E51B7B"/>
    <w:rsid w:val="00E52483"/>
    <w:rsid w:val="00E6023D"/>
    <w:rsid w:val="00E6353E"/>
    <w:rsid w:val="00E659D9"/>
    <w:rsid w:val="00E66FDE"/>
    <w:rsid w:val="00E724A6"/>
    <w:rsid w:val="00E80291"/>
    <w:rsid w:val="00E8089D"/>
    <w:rsid w:val="00E81E27"/>
    <w:rsid w:val="00E82068"/>
    <w:rsid w:val="00E8250F"/>
    <w:rsid w:val="00E82ECB"/>
    <w:rsid w:val="00E86EB9"/>
    <w:rsid w:val="00E872F2"/>
    <w:rsid w:val="00E90D54"/>
    <w:rsid w:val="00E962A3"/>
    <w:rsid w:val="00EA0292"/>
    <w:rsid w:val="00EA2625"/>
    <w:rsid w:val="00EA28A1"/>
    <w:rsid w:val="00EA3073"/>
    <w:rsid w:val="00EA44E4"/>
    <w:rsid w:val="00EB1DA7"/>
    <w:rsid w:val="00EB5387"/>
    <w:rsid w:val="00EC39AE"/>
    <w:rsid w:val="00EC4E75"/>
    <w:rsid w:val="00EC59E9"/>
    <w:rsid w:val="00ED5D84"/>
    <w:rsid w:val="00EE2BF9"/>
    <w:rsid w:val="00EE315D"/>
    <w:rsid w:val="00EE3467"/>
    <w:rsid w:val="00EF3850"/>
    <w:rsid w:val="00EF4A64"/>
    <w:rsid w:val="00F000DD"/>
    <w:rsid w:val="00F01694"/>
    <w:rsid w:val="00F01E2F"/>
    <w:rsid w:val="00F028A3"/>
    <w:rsid w:val="00F03CE0"/>
    <w:rsid w:val="00F17854"/>
    <w:rsid w:val="00F17957"/>
    <w:rsid w:val="00F26AB7"/>
    <w:rsid w:val="00F27983"/>
    <w:rsid w:val="00F30B16"/>
    <w:rsid w:val="00F3252A"/>
    <w:rsid w:val="00F32654"/>
    <w:rsid w:val="00F32AA6"/>
    <w:rsid w:val="00F345E8"/>
    <w:rsid w:val="00F34CAD"/>
    <w:rsid w:val="00F352DE"/>
    <w:rsid w:val="00F36610"/>
    <w:rsid w:val="00F42C06"/>
    <w:rsid w:val="00F4478C"/>
    <w:rsid w:val="00F44944"/>
    <w:rsid w:val="00F460C5"/>
    <w:rsid w:val="00F5086B"/>
    <w:rsid w:val="00F50AD5"/>
    <w:rsid w:val="00F52CC5"/>
    <w:rsid w:val="00F5312E"/>
    <w:rsid w:val="00F54FAA"/>
    <w:rsid w:val="00F56E80"/>
    <w:rsid w:val="00F56F86"/>
    <w:rsid w:val="00F60BB7"/>
    <w:rsid w:val="00F60E38"/>
    <w:rsid w:val="00F65DBE"/>
    <w:rsid w:val="00F673D0"/>
    <w:rsid w:val="00F67BE3"/>
    <w:rsid w:val="00F710D1"/>
    <w:rsid w:val="00F745A1"/>
    <w:rsid w:val="00F80079"/>
    <w:rsid w:val="00F85C82"/>
    <w:rsid w:val="00F85FF6"/>
    <w:rsid w:val="00F91764"/>
    <w:rsid w:val="00F9463A"/>
    <w:rsid w:val="00F9499B"/>
    <w:rsid w:val="00F976F0"/>
    <w:rsid w:val="00FA10DD"/>
    <w:rsid w:val="00FA2DE0"/>
    <w:rsid w:val="00FA2F22"/>
    <w:rsid w:val="00FA324B"/>
    <w:rsid w:val="00FA564D"/>
    <w:rsid w:val="00FB216F"/>
    <w:rsid w:val="00FB7262"/>
    <w:rsid w:val="00FB7978"/>
    <w:rsid w:val="00FC081B"/>
    <w:rsid w:val="00FC3B14"/>
    <w:rsid w:val="00FC5950"/>
    <w:rsid w:val="00FD1E55"/>
    <w:rsid w:val="00FD4A1C"/>
    <w:rsid w:val="00FE3104"/>
    <w:rsid w:val="00FE73FF"/>
    <w:rsid w:val="00FF0ED6"/>
    <w:rsid w:val="00FF57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A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96"/>
    <w:pPr>
      <w:spacing w:after="200" w:line="276" w:lineRule="auto"/>
    </w:pPr>
    <w:rPr>
      <w:noProof/>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F2490"/>
    <w:pPr>
      <w:spacing w:after="120" w:line="240" w:lineRule="auto"/>
      <w:ind w:left="720"/>
      <w:contextualSpacing/>
      <w:jc w:val="both"/>
    </w:pPr>
    <w:rPr>
      <w:noProof w:val="0"/>
      <w:lang w:val="pt-BR"/>
    </w:rPr>
  </w:style>
  <w:style w:type="paragraph" w:styleId="NormalWeb">
    <w:name w:val="Normal (Web)"/>
    <w:basedOn w:val="Normal"/>
    <w:uiPriority w:val="99"/>
    <w:semiHidden/>
    <w:unhideWhenUsed/>
    <w:rsid w:val="00744DA7"/>
    <w:pPr>
      <w:spacing w:before="100" w:beforeAutospacing="1" w:after="100" w:afterAutospacing="1" w:line="240" w:lineRule="auto"/>
    </w:pPr>
    <w:rPr>
      <w:rFonts w:ascii="Times New Roman" w:eastAsia="Times New Roman" w:hAnsi="Times New Roman"/>
      <w:noProof w:val="0"/>
      <w:sz w:val="24"/>
      <w:szCs w:val="24"/>
      <w:lang w:val="pt-BR" w:eastAsia="pt-BR"/>
    </w:rPr>
  </w:style>
  <w:style w:type="character" w:customStyle="1" w:styleId="apple-converted-space">
    <w:name w:val="apple-converted-space"/>
    <w:basedOn w:val="Fontepargpadro"/>
    <w:rsid w:val="00C26687"/>
  </w:style>
  <w:style w:type="character" w:styleId="Forte">
    <w:name w:val="Strong"/>
    <w:uiPriority w:val="22"/>
    <w:qFormat/>
    <w:rsid w:val="00C26687"/>
    <w:rPr>
      <w:b/>
      <w:bCs/>
    </w:rPr>
  </w:style>
  <w:style w:type="character" w:styleId="Hyperlink">
    <w:name w:val="Hyperlink"/>
    <w:uiPriority w:val="99"/>
    <w:unhideWhenUsed/>
    <w:rsid w:val="00F5086B"/>
    <w:rPr>
      <w:color w:val="0000FF"/>
      <w:u w:val="single"/>
    </w:rPr>
  </w:style>
  <w:style w:type="paragraph" w:styleId="Cabealho">
    <w:name w:val="header"/>
    <w:basedOn w:val="Normal"/>
    <w:link w:val="CabealhoChar"/>
    <w:uiPriority w:val="99"/>
    <w:unhideWhenUsed/>
    <w:rsid w:val="00A820D3"/>
    <w:pPr>
      <w:tabs>
        <w:tab w:val="center" w:pos="4252"/>
        <w:tab w:val="right" w:pos="8504"/>
      </w:tabs>
      <w:spacing w:after="0" w:line="240" w:lineRule="auto"/>
    </w:pPr>
  </w:style>
  <w:style w:type="character" w:customStyle="1" w:styleId="CabealhoChar">
    <w:name w:val="Cabeçalho Char"/>
    <w:link w:val="Cabealho"/>
    <w:uiPriority w:val="99"/>
    <w:rsid w:val="00A820D3"/>
    <w:rPr>
      <w:noProof/>
      <w:lang w:val="en-US"/>
    </w:rPr>
  </w:style>
  <w:style w:type="paragraph" w:styleId="Rodap">
    <w:name w:val="footer"/>
    <w:basedOn w:val="Normal"/>
    <w:link w:val="RodapChar"/>
    <w:uiPriority w:val="99"/>
    <w:unhideWhenUsed/>
    <w:rsid w:val="00A820D3"/>
    <w:pPr>
      <w:tabs>
        <w:tab w:val="center" w:pos="4252"/>
        <w:tab w:val="right" w:pos="8504"/>
      </w:tabs>
      <w:spacing w:after="0" w:line="240" w:lineRule="auto"/>
    </w:pPr>
  </w:style>
  <w:style w:type="character" w:customStyle="1" w:styleId="RodapChar">
    <w:name w:val="Rodapé Char"/>
    <w:link w:val="Rodap"/>
    <w:uiPriority w:val="99"/>
    <w:rsid w:val="00A820D3"/>
    <w:rPr>
      <w:noProof/>
      <w:lang w:val="en-US"/>
    </w:rPr>
  </w:style>
  <w:style w:type="paragraph" w:customStyle="1" w:styleId="Default">
    <w:name w:val="Default"/>
    <w:rsid w:val="008E114A"/>
    <w:pPr>
      <w:autoSpaceDE w:val="0"/>
      <w:autoSpaceDN w:val="0"/>
      <w:adjustRightInd w:val="0"/>
    </w:pPr>
    <w:rPr>
      <w:rFonts w:cs="Calibri"/>
      <w:color w:val="000000"/>
      <w:sz w:val="24"/>
      <w:szCs w:val="24"/>
      <w:lang w:eastAsia="en-US"/>
    </w:rPr>
  </w:style>
  <w:style w:type="paragraph" w:styleId="Textodebalo">
    <w:name w:val="Balloon Text"/>
    <w:basedOn w:val="Normal"/>
    <w:link w:val="TextodebaloChar"/>
    <w:uiPriority w:val="99"/>
    <w:semiHidden/>
    <w:unhideWhenUsed/>
    <w:rsid w:val="003E7EF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3E7EF1"/>
    <w:rPr>
      <w:rFonts w:ascii="Tahoma" w:hAnsi="Tahoma" w:cs="Tahoma"/>
      <w:noProof/>
      <w:sz w:val="16"/>
      <w:szCs w:val="16"/>
      <w:lang w:val="en-US"/>
    </w:rPr>
  </w:style>
  <w:style w:type="character" w:styleId="TextodoEspaoReservado">
    <w:name w:val="Placeholder Text"/>
    <w:uiPriority w:val="99"/>
    <w:semiHidden/>
    <w:rsid w:val="00E66FDE"/>
    <w:rPr>
      <w:color w:val="808080"/>
    </w:rPr>
  </w:style>
  <w:style w:type="paragraph" w:styleId="Legenda">
    <w:name w:val="caption"/>
    <w:basedOn w:val="Normal"/>
    <w:next w:val="Normal"/>
    <w:uiPriority w:val="35"/>
    <w:unhideWhenUsed/>
    <w:qFormat/>
    <w:rsid w:val="00D8727B"/>
    <w:pPr>
      <w:spacing w:line="240" w:lineRule="auto"/>
    </w:pPr>
    <w:rPr>
      <w:b/>
      <w:bCs/>
      <w:color w:val="4F81BD"/>
      <w:sz w:val="18"/>
      <w:szCs w:val="18"/>
    </w:rPr>
  </w:style>
  <w:style w:type="character" w:styleId="Refdecomentrio">
    <w:name w:val="annotation reference"/>
    <w:uiPriority w:val="99"/>
    <w:semiHidden/>
    <w:unhideWhenUsed/>
    <w:rsid w:val="00F36610"/>
    <w:rPr>
      <w:sz w:val="16"/>
      <w:szCs w:val="16"/>
    </w:rPr>
  </w:style>
  <w:style w:type="paragraph" w:styleId="Textodecomentrio">
    <w:name w:val="annotation text"/>
    <w:basedOn w:val="Normal"/>
    <w:link w:val="TextodecomentrioChar"/>
    <w:uiPriority w:val="99"/>
    <w:unhideWhenUsed/>
    <w:rsid w:val="00F36610"/>
    <w:pPr>
      <w:spacing w:line="240" w:lineRule="auto"/>
    </w:pPr>
    <w:rPr>
      <w:sz w:val="20"/>
      <w:szCs w:val="20"/>
    </w:rPr>
  </w:style>
  <w:style w:type="character" w:customStyle="1" w:styleId="TextodecomentrioChar">
    <w:name w:val="Texto de comentário Char"/>
    <w:link w:val="Textodecomentrio"/>
    <w:uiPriority w:val="99"/>
    <w:rsid w:val="00F36610"/>
    <w:rPr>
      <w:noProof/>
      <w:sz w:val="20"/>
      <w:szCs w:val="20"/>
      <w:lang w:val="en-US"/>
    </w:rPr>
  </w:style>
  <w:style w:type="paragraph" w:styleId="Assuntodocomentrio">
    <w:name w:val="annotation subject"/>
    <w:basedOn w:val="Textodecomentrio"/>
    <w:next w:val="Textodecomentrio"/>
    <w:link w:val="AssuntodocomentrioChar"/>
    <w:uiPriority w:val="99"/>
    <w:semiHidden/>
    <w:unhideWhenUsed/>
    <w:rsid w:val="00F36610"/>
    <w:rPr>
      <w:b/>
      <w:bCs/>
    </w:rPr>
  </w:style>
  <w:style w:type="character" w:customStyle="1" w:styleId="AssuntodocomentrioChar">
    <w:name w:val="Assunto do comentário Char"/>
    <w:link w:val="Assuntodocomentrio"/>
    <w:uiPriority w:val="99"/>
    <w:semiHidden/>
    <w:rsid w:val="00F36610"/>
    <w:rPr>
      <w:b/>
      <w:bCs/>
      <w:noProof/>
      <w:sz w:val="20"/>
      <w:szCs w:val="20"/>
      <w:lang w:val="en-US"/>
    </w:rPr>
  </w:style>
  <w:style w:type="character" w:customStyle="1" w:styleId="A2">
    <w:name w:val="A2"/>
    <w:uiPriority w:val="99"/>
    <w:rsid w:val="0094632F"/>
    <w:rPr>
      <w:color w:val="000000"/>
      <w:sz w:val="19"/>
      <w:szCs w:val="19"/>
    </w:rPr>
  </w:style>
  <w:style w:type="paragraph" w:styleId="Reviso">
    <w:name w:val="Revision"/>
    <w:hidden/>
    <w:uiPriority w:val="99"/>
    <w:semiHidden/>
    <w:rsid w:val="00E342A5"/>
    <w:rPr>
      <w:noProof/>
      <w:sz w:val="22"/>
      <w:szCs w:val="22"/>
      <w:lang w:val="en-US" w:eastAsia="en-US"/>
    </w:rPr>
  </w:style>
  <w:style w:type="character" w:customStyle="1" w:styleId="Meno1">
    <w:name w:val="Menção1"/>
    <w:basedOn w:val="Fontepargpadro"/>
    <w:uiPriority w:val="99"/>
    <w:semiHidden/>
    <w:unhideWhenUsed/>
    <w:rsid w:val="00373952"/>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96"/>
    <w:pPr>
      <w:spacing w:after="200" w:line="276" w:lineRule="auto"/>
    </w:pPr>
    <w:rPr>
      <w:noProof/>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F2490"/>
    <w:pPr>
      <w:spacing w:after="120" w:line="240" w:lineRule="auto"/>
      <w:ind w:left="720"/>
      <w:contextualSpacing/>
      <w:jc w:val="both"/>
    </w:pPr>
    <w:rPr>
      <w:noProof w:val="0"/>
      <w:lang w:val="pt-BR"/>
    </w:rPr>
  </w:style>
  <w:style w:type="paragraph" w:styleId="NormalWeb">
    <w:name w:val="Normal (Web)"/>
    <w:basedOn w:val="Normal"/>
    <w:uiPriority w:val="99"/>
    <w:semiHidden/>
    <w:unhideWhenUsed/>
    <w:rsid w:val="00744DA7"/>
    <w:pPr>
      <w:spacing w:before="100" w:beforeAutospacing="1" w:after="100" w:afterAutospacing="1" w:line="240" w:lineRule="auto"/>
    </w:pPr>
    <w:rPr>
      <w:rFonts w:ascii="Times New Roman" w:eastAsia="Times New Roman" w:hAnsi="Times New Roman"/>
      <w:noProof w:val="0"/>
      <w:sz w:val="24"/>
      <w:szCs w:val="24"/>
      <w:lang w:val="pt-BR" w:eastAsia="pt-BR"/>
    </w:rPr>
  </w:style>
  <w:style w:type="character" w:customStyle="1" w:styleId="apple-converted-space">
    <w:name w:val="apple-converted-space"/>
    <w:basedOn w:val="Fontepargpadro"/>
    <w:rsid w:val="00C26687"/>
  </w:style>
  <w:style w:type="character" w:styleId="Forte">
    <w:name w:val="Strong"/>
    <w:uiPriority w:val="22"/>
    <w:qFormat/>
    <w:rsid w:val="00C26687"/>
    <w:rPr>
      <w:b/>
      <w:bCs/>
    </w:rPr>
  </w:style>
  <w:style w:type="character" w:styleId="Hyperlink">
    <w:name w:val="Hyperlink"/>
    <w:uiPriority w:val="99"/>
    <w:unhideWhenUsed/>
    <w:rsid w:val="00F5086B"/>
    <w:rPr>
      <w:color w:val="0000FF"/>
      <w:u w:val="single"/>
    </w:rPr>
  </w:style>
  <w:style w:type="paragraph" w:styleId="Cabealho">
    <w:name w:val="header"/>
    <w:basedOn w:val="Normal"/>
    <w:link w:val="CabealhoChar"/>
    <w:uiPriority w:val="99"/>
    <w:unhideWhenUsed/>
    <w:rsid w:val="00A820D3"/>
    <w:pPr>
      <w:tabs>
        <w:tab w:val="center" w:pos="4252"/>
        <w:tab w:val="right" w:pos="8504"/>
      </w:tabs>
      <w:spacing w:after="0" w:line="240" w:lineRule="auto"/>
    </w:pPr>
  </w:style>
  <w:style w:type="character" w:customStyle="1" w:styleId="CabealhoChar">
    <w:name w:val="Cabeçalho Char"/>
    <w:link w:val="Cabealho"/>
    <w:uiPriority w:val="99"/>
    <w:rsid w:val="00A820D3"/>
    <w:rPr>
      <w:noProof/>
      <w:lang w:val="en-US"/>
    </w:rPr>
  </w:style>
  <w:style w:type="paragraph" w:styleId="Rodap">
    <w:name w:val="footer"/>
    <w:basedOn w:val="Normal"/>
    <w:link w:val="RodapChar"/>
    <w:uiPriority w:val="99"/>
    <w:unhideWhenUsed/>
    <w:rsid w:val="00A820D3"/>
    <w:pPr>
      <w:tabs>
        <w:tab w:val="center" w:pos="4252"/>
        <w:tab w:val="right" w:pos="8504"/>
      </w:tabs>
      <w:spacing w:after="0" w:line="240" w:lineRule="auto"/>
    </w:pPr>
  </w:style>
  <w:style w:type="character" w:customStyle="1" w:styleId="RodapChar">
    <w:name w:val="Rodapé Char"/>
    <w:link w:val="Rodap"/>
    <w:uiPriority w:val="99"/>
    <w:rsid w:val="00A820D3"/>
    <w:rPr>
      <w:noProof/>
      <w:lang w:val="en-US"/>
    </w:rPr>
  </w:style>
  <w:style w:type="paragraph" w:customStyle="1" w:styleId="Default">
    <w:name w:val="Default"/>
    <w:rsid w:val="008E114A"/>
    <w:pPr>
      <w:autoSpaceDE w:val="0"/>
      <w:autoSpaceDN w:val="0"/>
      <w:adjustRightInd w:val="0"/>
    </w:pPr>
    <w:rPr>
      <w:rFonts w:cs="Calibri"/>
      <w:color w:val="000000"/>
      <w:sz w:val="24"/>
      <w:szCs w:val="24"/>
      <w:lang w:eastAsia="en-US"/>
    </w:rPr>
  </w:style>
  <w:style w:type="paragraph" w:styleId="Textodebalo">
    <w:name w:val="Balloon Text"/>
    <w:basedOn w:val="Normal"/>
    <w:link w:val="TextodebaloChar"/>
    <w:uiPriority w:val="99"/>
    <w:semiHidden/>
    <w:unhideWhenUsed/>
    <w:rsid w:val="003E7EF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3E7EF1"/>
    <w:rPr>
      <w:rFonts w:ascii="Tahoma" w:hAnsi="Tahoma" w:cs="Tahoma"/>
      <w:noProof/>
      <w:sz w:val="16"/>
      <w:szCs w:val="16"/>
      <w:lang w:val="en-US"/>
    </w:rPr>
  </w:style>
  <w:style w:type="character" w:styleId="TextodoEspaoReservado">
    <w:name w:val="Placeholder Text"/>
    <w:uiPriority w:val="99"/>
    <w:semiHidden/>
    <w:rsid w:val="00E66FDE"/>
    <w:rPr>
      <w:color w:val="808080"/>
    </w:rPr>
  </w:style>
  <w:style w:type="paragraph" w:styleId="Legenda">
    <w:name w:val="caption"/>
    <w:basedOn w:val="Normal"/>
    <w:next w:val="Normal"/>
    <w:uiPriority w:val="35"/>
    <w:unhideWhenUsed/>
    <w:qFormat/>
    <w:rsid w:val="00D8727B"/>
    <w:pPr>
      <w:spacing w:line="240" w:lineRule="auto"/>
    </w:pPr>
    <w:rPr>
      <w:b/>
      <w:bCs/>
      <w:color w:val="4F81BD"/>
      <w:sz w:val="18"/>
      <w:szCs w:val="18"/>
    </w:rPr>
  </w:style>
  <w:style w:type="character" w:styleId="Refdecomentrio">
    <w:name w:val="annotation reference"/>
    <w:uiPriority w:val="99"/>
    <w:semiHidden/>
    <w:unhideWhenUsed/>
    <w:rsid w:val="00F36610"/>
    <w:rPr>
      <w:sz w:val="16"/>
      <w:szCs w:val="16"/>
    </w:rPr>
  </w:style>
  <w:style w:type="paragraph" w:styleId="Textodecomentrio">
    <w:name w:val="annotation text"/>
    <w:basedOn w:val="Normal"/>
    <w:link w:val="TextodecomentrioChar"/>
    <w:uiPriority w:val="99"/>
    <w:unhideWhenUsed/>
    <w:rsid w:val="00F36610"/>
    <w:pPr>
      <w:spacing w:line="240" w:lineRule="auto"/>
    </w:pPr>
    <w:rPr>
      <w:sz w:val="20"/>
      <w:szCs w:val="20"/>
    </w:rPr>
  </w:style>
  <w:style w:type="character" w:customStyle="1" w:styleId="TextodecomentrioChar">
    <w:name w:val="Texto de comentário Char"/>
    <w:link w:val="Textodecomentrio"/>
    <w:uiPriority w:val="99"/>
    <w:rsid w:val="00F36610"/>
    <w:rPr>
      <w:noProof/>
      <w:sz w:val="20"/>
      <w:szCs w:val="20"/>
      <w:lang w:val="en-US"/>
    </w:rPr>
  </w:style>
  <w:style w:type="paragraph" w:styleId="Assuntodocomentrio">
    <w:name w:val="annotation subject"/>
    <w:basedOn w:val="Textodecomentrio"/>
    <w:next w:val="Textodecomentrio"/>
    <w:link w:val="AssuntodocomentrioChar"/>
    <w:uiPriority w:val="99"/>
    <w:semiHidden/>
    <w:unhideWhenUsed/>
    <w:rsid w:val="00F36610"/>
    <w:rPr>
      <w:b/>
      <w:bCs/>
    </w:rPr>
  </w:style>
  <w:style w:type="character" w:customStyle="1" w:styleId="AssuntodocomentrioChar">
    <w:name w:val="Assunto do comentário Char"/>
    <w:link w:val="Assuntodocomentrio"/>
    <w:uiPriority w:val="99"/>
    <w:semiHidden/>
    <w:rsid w:val="00F36610"/>
    <w:rPr>
      <w:b/>
      <w:bCs/>
      <w:noProof/>
      <w:sz w:val="20"/>
      <w:szCs w:val="20"/>
      <w:lang w:val="en-US"/>
    </w:rPr>
  </w:style>
  <w:style w:type="character" w:customStyle="1" w:styleId="A2">
    <w:name w:val="A2"/>
    <w:uiPriority w:val="99"/>
    <w:rsid w:val="0094632F"/>
    <w:rPr>
      <w:color w:val="000000"/>
      <w:sz w:val="19"/>
      <w:szCs w:val="19"/>
    </w:rPr>
  </w:style>
  <w:style w:type="paragraph" w:styleId="Reviso">
    <w:name w:val="Revision"/>
    <w:hidden/>
    <w:uiPriority w:val="99"/>
    <w:semiHidden/>
    <w:rsid w:val="00E342A5"/>
    <w:rPr>
      <w:noProof/>
      <w:sz w:val="22"/>
      <w:szCs w:val="22"/>
      <w:lang w:val="en-US" w:eastAsia="en-US"/>
    </w:rPr>
  </w:style>
  <w:style w:type="character" w:customStyle="1" w:styleId="Meno1">
    <w:name w:val="Menção1"/>
    <w:basedOn w:val="Fontepargpadro"/>
    <w:uiPriority w:val="99"/>
    <w:semiHidden/>
    <w:unhideWhenUsed/>
    <w:rsid w:val="0037395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80674">
      <w:bodyDiv w:val="1"/>
      <w:marLeft w:val="0"/>
      <w:marRight w:val="0"/>
      <w:marTop w:val="0"/>
      <w:marBottom w:val="0"/>
      <w:divBdr>
        <w:top w:val="none" w:sz="0" w:space="0" w:color="auto"/>
        <w:left w:val="none" w:sz="0" w:space="0" w:color="auto"/>
        <w:bottom w:val="none" w:sz="0" w:space="0" w:color="auto"/>
        <w:right w:val="none" w:sz="0" w:space="0" w:color="auto"/>
      </w:divBdr>
    </w:div>
    <w:div w:id="291138109">
      <w:bodyDiv w:val="1"/>
      <w:marLeft w:val="0"/>
      <w:marRight w:val="0"/>
      <w:marTop w:val="0"/>
      <w:marBottom w:val="0"/>
      <w:divBdr>
        <w:top w:val="none" w:sz="0" w:space="0" w:color="auto"/>
        <w:left w:val="none" w:sz="0" w:space="0" w:color="auto"/>
        <w:bottom w:val="none" w:sz="0" w:space="0" w:color="auto"/>
        <w:right w:val="none" w:sz="0" w:space="0" w:color="auto"/>
      </w:divBdr>
    </w:div>
    <w:div w:id="364599436">
      <w:bodyDiv w:val="1"/>
      <w:marLeft w:val="0"/>
      <w:marRight w:val="0"/>
      <w:marTop w:val="0"/>
      <w:marBottom w:val="0"/>
      <w:divBdr>
        <w:top w:val="none" w:sz="0" w:space="0" w:color="auto"/>
        <w:left w:val="none" w:sz="0" w:space="0" w:color="auto"/>
        <w:bottom w:val="none" w:sz="0" w:space="0" w:color="auto"/>
        <w:right w:val="none" w:sz="0" w:space="0" w:color="auto"/>
      </w:divBdr>
    </w:div>
    <w:div w:id="365106264">
      <w:bodyDiv w:val="1"/>
      <w:marLeft w:val="0"/>
      <w:marRight w:val="0"/>
      <w:marTop w:val="0"/>
      <w:marBottom w:val="0"/>
      <w:divBdr>
        <w:top w:val="none" w:sz="0" w:space="0" w:color="auto"/>
        <w:left w:val="none" w:sz="0" w:space="0" w:color="auto"/>
        <w:bottom w:val="none" w:sz="0" w:space="0" w:color="auto"/>
        <w:right w:val="none" w:sz="0" w:space="0" w:color="auto"/>
      </w:divBdr>
    </w:div>
    <w:div w:id="367528674">
      <w:bodyDiv w:val="1"/>
      <w:marLeft w:val="0"/>
      <w:marRight w:val="0"/>
      <w:marTop w:val="0"/>
      <w:marBottom w:val="0"/>
      <w:divBdr>
        <w:top w:val="none" w:sz="0" w:space="0" w:color="auto"/>
        <w:left w:val="none" w:sz="0" w:space="0" w:color="auto"/>
        <w:bottom w:val="none" w:sz="0" w:space="0" w:color="auto"/>
        <w:right w:val="none" w:sz="0" w:space="0" w:color="auto"/>
      </w:divBdr>
    </w:div>
    <w:div w:id="372654726">
      <w:bodyDiv w:val="1"/>
      <w:marLeft w:val="0"/>
      <w:marRight w:val="0"/>
      <w:marTop w:val="0"/>
      <w:marBottom w:val="0"/>
      <w:divBdr>
        <w:top w:val="none" w:sz="0" w:space="0" w:color="auto"/>
        <w:left w:val="none" w:sz="0" w:space="0" w:color="auto"/>
        <w:bottom w:val="none" w:sz="0" w:space="0" w:color="auto"/>
        <w:right w:val="none" w:sz="0" w:space="0" w:color="auto"/>
      </w:divBdr>
    </w:div>
    <w:div w:id="432357466">
      <w:bodyDiv w:val="1"/>
      <w:marLeft w:val="0"/>
      <w:marRight w:val="0"/>
      <w:marTop w:val="0"/>
      <w:marBottom w:val="0"/>
      <w:divBdr>
        <w:top w:val="none" w:sz="0" w:space="0" w:color="auto"/>
        <w:left w:val="none" w:sz="0" w:space="0" w:color="auto"/>
        <w:bottom w:val="none" w:sz="0" w:space="0" w:color="auto"/>
        <w:right w:val="none" w:sz="0" w:space="0" w:color="auto"/>
      </w:divBdr>
      <w:divsChild>
        <w:div w:id="2090494210">
          <w:marLeft w:val="0"/>
          <w:marRight w:val="0"/>
          <w:marTop w:val="0"/>
          <w:marBottom w:val="0"/>
          <w:divBdr>
            <w:top w:val="none" w:sz="0" w:space="0" w:color="auto"/>
            <w:left w:val="none" w:sz="0" w:space="0" w:color="auto"/>
            <w:bottom w:val="none" w:sz="0" w:space="0" w:color="auto"/>
            <w:right w:val="none" w:sz="0" w:space="0" w:color="auto"/>
          </w:divBdr>
          <w:divsChild>
            <w:div w:id="356739186">
              <w:marLeft w:val="0"/>
              <w:marRight w:val="0"/>
              <w:marTop w:val="0"/>
              <w:marBottom w:val="0"/>
              <w:divBdr>
                <w:top w:val="none" w:sz="0" w:space="0" w:color="auto"/>
                <w:left w:val="none" w:sz="0" w:space="0" w:color="auto"/>
                <w:bottom w:val="none" w:sz="0" w:space="0" w:color="auto"/>
                <w:right w:val="none" w:sz="0" w:space="0" w:color="auto"/>
              </w:divBdr>
              <w:divsChild>
                <w:div w:id="604732755">
                  <w:marLeft w:val="0"/>
                  <w:marRight w:val="0"/>
                  <w:marTop w:val="0"/>
                  <w:marBottom w:val="0"/>
                  <w:divBdr>
                    <w:top w:val="none" w:sz="0" w:space="0" w:color="auto"/>
                    <w:left w:val="none" w:sz="0" w:space="0" w:color="auto"/>
                    <w:bottom w:val="none" w:sz="0" w:space="0" w:color="auto"/>
                    <w:right w:val="none" w:sz="0" w:space="0" w:color="auto"/>
                  </w:divBdr>
                  <w:divsChild>
                    <w:div w:id="599459234">
                      <w:marLeft w:val="0"/>
                      <w:marRight w:val="0"/>
                      <w:marTop w:val="0"/>
                      <w:marBottom w:val="0"/>
                      <w:divBdr>
                        <w:top w:val="none" w:sz="0" w:space="0" w:color="auto"/>
                        <w:left w:val="none" w:sz="0" w:space="0" w:color="auto"/>
                        <w:bottom w:val="none" w:sz="0" w:space="0" w:color="auto"/>
                        <w:right w:val="none" w:sz="0" w:space="0" w:color="auto"/>
                      </w:divBdr>
                      <w:divsChild>
                        <w:div w:id="268781797">
                          <w:marLeft w:val="0"/>
                          <w:marRight w:val="0"/>
                          <w:marTop w:val="0"/>
                          <w:marBottom w:val="0"/>
                          <w:divBdr>
                            <w:top w:val="none" w:sz="0" w:space="0" w:color="auto"/>
                            <w:left w:val="none" w:sz="0" w:space="0" w:color="auto"/>
                            <w:bottom w:val="none" w:sz="0" w:space="0" w:color="auto"/>
                            <w:right w:val="none" w:sz="0" w:space="0" w:color="auto"/>
                          </w:divBdr>
                          <w:divsChild>
                            <w:div w:id="17042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689663">
      <w:bodyDiv w:val="1"/>
      <w:marLeft w:val="0"/>
      <w:marRight w:val="0"/>
      <w:marTop w:val="0"/>
      <w:marBottom w:val="0"/>
      <w:divBdr>
        <w:top w:val="none" w:sz="0" w:space="0" w:color="auto"/>
        <w:left w:val="none" w:sz="0" w:space="0" w:color="auto"/>
        <w:bottom w:val="none" w:sz="0" w:space="0" w:color="auto"/>
        <w:right w:val="none" w:sz="0" w:space="0" w:color="auto"/>
      </w:divBdr>
    </w:div>
    <w:div w:id="482428227">
      <w:bodyDiv w:val="1"/>
      <w:marLeft w:val="0"/>
      <w:marRight w:val="0"/>
      <w:marTop w:val="0"/>
      <w:marBottom w:val="0"/>
      <w:divBdr>
        <w:top w:val="none" w:sz="0" w:space="0" w:color="auto"/>
        <w:left w:val="none" w:sz="0" w:space="0" w:color="auto"/>
        <w:bottom w:val="none" w:sz="0" w:space="0" w:color="auto"/>
        <w:right w:val="none" w:sz="0" w:space="0" w:color="auto"/>
      </w:divBdr>
    </w:div>
    <w:div w:id="537661810">
      <w:bodyDiv w:val="1"/>
      <w:marLeft w:val="0"/>
      <w:marRight w:val="0"/>
      <w:marTop w:val="0"/>
      <w:marBottom w:val="0"/>
      <w:divBdr>
        <w:top w:val="none" w:sz="0" w:space="0" w:color="auto"/>
        <w:left w:val="none" w:sz="0" w:space="0" w:color="auto"/>
        <w:bottom w:val="none" w:sz="0" w:space="0" w:color="auto"/>
        <w:right w:val="none" w:sz="0" w:space="0" w:color="auto"/>
      </w:divBdr>
    </w:div>
    <w:div w:id="572816636">
      <w:bodyDiv w:val="1"/>
      <w:marLeft w:val="0"/>
      <w:marRight w:val="0"/>
      <w:marTop w:val="0"/>
      <w:marBottom w:val="0"/>
      <w:divBdr>
        <w:top w:val="none" w:sz="0" w:space="0" w:color="auto"/>
        <w:left w:val="none" w:sz="0" w:space="0" w:color="auto"/>
        <w:bottom w:val="none" w:sz="0" w:space="0" w:color="auto"/>
        <w:right w:val="none" w:sz="0" w:space="0" w:color="auto"/>
      </w:divBdr>
    </w:div>
    <w:div w:id="880752255">
      <w:bodyDiv w:val="1"/>
      <w:marLeft w:val="0"/>
      <w:marRight w:val="0"/>
      <w:marTop w:val="0"/>
      <w:marBottom w:val="0"/>
      <w:divBdr>
        <w:top w:val="none" w:sz="0" w:space="0" w:color="auto"/>
        <w:left w:val="none" w:sz="0" w:space="0" w:color="auto"/>
        <w:bottom w:val="none" w:sz="0" w:space="0" w:color="auto"/>
        <w:right w:val="none" w:sz="0" w:space="0" w:color="auto"/>
      </w:divBdr>
      <w:divsChild>
        <w:div w:id="785779954">
          <w:marLeft w:val="0"/>
          <w:marRight w:val="0"/>
          <w:marTop w:val="0"/>
          <w:marBottom w:val="0"/>
          <w:divBdr>
            <w:top w:val="none" w:sz="0" w:space="0" w:color="auto"/>
            <w:left w:val="none" w:sz="0" w:space="0" w:color="auto"/>
            <w:bottom w:val="none" w:sz="0" w:space="0" w:color="auto"/>
            <w:right w:val="none" w:sz="0" w:space="0" w:color="auto"/>
          </w:divBdr>
          <w:divsChild>
            <w:div w:id="992149618">
              <w:marLeft w:val="0"/>
              <w:marRight w:val="0"/>
              <w:marTop w:val="0"/>
              <w:marBottom w:val="0"/>
              <w:divBdr>
                <w:top w:val="none" w:sz="0" w:space="0" w:color="auto"/>
                <w:left w:val="none" w:sz="0" w:space="0" w:color="auto"/>
                <w:bottom w:val="none" w:sz="0" w:space="0" w:color="auto"/>
                <w:right w:val="none" w:sz="0" w:space="0" w:color="auto"/>
              </w:divBdr>
              <w:divsChild>
                <w:div w:id="830101461">
                  <w:marLeft w:val="0"/>
                  <w:marRight w:val="0"/>
                  <w:marTop w:val="0"/>
                  <w:marBottom w:val="0"/>
                  <w:divBdr>
                    <w:top w:val="none" w:sz="0" w:space="0" w:color="auto"/>
                    <w:left w:val="none" w:sz="0" w:space="0" w:color="auto"/>
                    <w:bottom w:val="none" w:sz="0" w:space="0" w:color="auto"/>
                    <w:right w:val="none" w:sz="0" w:space="0" w:color="auto"/>
                  </w:divBdr>
                  <w:divsChild>
                    <w:div w:id="618757530">
                      <w:marLeft w:val="0"/>
                      <w:marRight w:val="0"/>
                      <w:marTop w:val="0"/>
                      <w:marBottom w:val="0"/>
                      <w:divBdr>
                        <w:top w:val="none" w:sz="0" w:space="0" w:color="auto"/>
                        <w:left w:val="none" w:sz="0" w:space="0" w:color="auto"/>
                        <w:bottom w:val="none" w:sz="0" w:space="0" w:color="auto"/>
                        <w:right w:val="none" w:sz="0" w:space="0" w:color="auto"/>
                      </w:divBdr>
                      <w:divsChild>
                        <w:div w:id="750467137">
                          <w:marLeft w:val="0"/>
                          <w:marRight w:val="0"/>
                          <w:marTop w:val="0"/>
                          <w:marBottom w:val="0"/>
                          <w:divBdr>
                            <w:top w:val="none" w:sz="0" w:space="0" w:color="auto"/>
                            <w:left w:val="none" w:sz="0" w:space="0" w:color="auto"/>
                            <w:bottom w:val="none" w:sz="0" w:space="0" w:color="auto"/>
                            <w:right w:val="none" w:sz="0" w:space="0" w:color="auto"/>
                          </w:divBdr>
                          <w:divsChild>
                            <w:div w:id="14552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933458">
      <w:bodyDiv w:val="1"/>
      <w:marLeft w:val="0"/>
      <w:marRight w:val="0"/>
      <w:marTop w:val="0"/>
      <w:marBottom w:val="0"/>
      <w:divBdr>
        <w:top w:val="none" w:sz="0" w:space="0" w:color="auto"/>
        <w:left w:val="none" w:sz="0" w:space="0" w:color="auto"/>
        <w:bottom w:val="none" w:sz="0" w:space="0" w:color="auto"/>
        <w:right w:val="none" w:sz="0" w:space="0" w:color="auto"/>
      </w:divBdr>
    </w:div>
    <w:div w:id="949552318">
      <w:bodyDiv w:val="1"/>
      <w:marLeft w:val="0"/>
      <w:marRight w:val="0"/>
      <w:marTop w:val="0"/>
      <w:marBottom w:val="0"/>
      <w:divBdr>
        <w:top w:val="none" w:sz="0" w:space="0" w:color="auto"/>
        <w:left w:val="none" w:sz="0" w:space="0" w:color="auto"/>
        <w:bottom w:val="none" w:sz="0" w:space="0" w:color="auto"/>
        <w:right w:val="none" w:sz="0" w:space="0" w:color="auto"/>
      </w:divBdr>
    </w:div>
    <w:div w:id="1296184201">
      <w:bodyDiv w:val="1"/>
      <w:marLeft w:val="0"/>
      <w:marRight w:val="0"/>
      <w:marTop w:val="0"/>
      <w:marBottom w:val="0"/>
      <w:divBdr>
        <w:top w:val="none" w:sz="0" w:space="0" w:color="auto"/>
        <w:left w:val="none" w:sz="0" w:space="0" w:color="auto"/>
        <w:bottom w:val="none" w:sz="0" w:space="0" w:color="auto"/>
        <w:right w:val="none" w:sz="0" w:space="0" w:color="auto"/>
      </w:divBdr>
    </w:div>
    <w:div w:id="1332298300">
      <w:bodyDiv w:val="1"/>
      <w:marLeft w:val="0"/>
      <w:marRight w:val="0"/>
      <w:marTop w:val="0"/>
      <w:marBottom w:val="0"/>
      <w:divBdr>
        <w:top w:val="none" w:sz="0" w:space="0" w:color="auto"/>
        <w:left w:val="none" w:sz="0" w:space="0" w:color="auto"/>
        <w:bottom w:val="none" w:sz="0" w:space="0" w:color="auto"/>
        <w:right w:val="none" w:sz="0" w:space="0" w:color="auto"/>
      </w:divBdr>
    </w:div>
    <w:div w:id="1431707092">
      <w:bodyDiv w:val="1"/>
      <w:marLeft w:val="0"/>
      <w:marRight w:val="0"/>
      <w:marTop w:val="0"/>
      <w:marBottom w:val="0"/>
      <w:divBdr>
        <w:top w:val="none" w:sz="0" w:space="0" w:color="auto"/>
        <w:left w:val="none" w:sz="0" w:space="0" w:color="auto"/>
        <w:bottom w:val="none" w:sz="0" w:space="0" w:color="auto"/>
        <w:right w:val="none" w:sz="0" w:space="0" w:color="auto"/>
      </w:divBdr>
    </w:div>
    <w:div w:id="1610701933">
      <w:bodyDiv w:val="1"/>
      <w:marLeft w:val="0"/>
      <w:marRight w:val="0"/>
      <w:marTop w:val="0"/>
      <w:marBottom w:val="0"/>
      <w:divBdr>
        <w:top w:val="none" w:sz="0" w:space="0" w:color="auto"/>
        <w:left w:val="none" w:sz="0" w:space="0" w:color="auto"/>
        <w:bottom w:val="none" w:sz="0" w:space="0" w:color="auto"/>
        <w:right w:val="none" w:sz="0" w:space="0" w:color="auto"/>
      </w:divBdr>
    </w:div>
    <w:div w:id="1686250738">
      <w:bodyDiv w:val="1"/>
      <w:marLeft w:val="0"/>
      <w:marRight w:val="0"/>
      <w:marTop w:val="0"/>
      <w:marBottom w:val="0"/>
      <w:divBdr>
        <w:top w:val="none" w:sz="0" w:space="0" w:color="auto"/>
        <w:left w:val="none" w:sz="0" w:space="0" w:color="auto"/>
        <w:bottom w:val="none" w:sz="0" w:space="0" w:color="auto"/>
        <w:right w:val="none" w:sz="0" w:space="0" w:color="auto"/>
      </w:divBdr>
    </w:div>
    <w:div w:id="1822042534">
      <w:bodyDiv w:val="1"/>
      <w:marLeft w:val="0"/>
      <w:marRight w:val="0"/>
      <w:marTop w:val="0"/>
      <w:marBottom w:val="0"/>
      <w:divBdr>
        <w:top w:val="none" w:sz="0" w:space="0" w:color="auto"/>
        <w:left w:val="none" w:sz="0" w:space="0" w:color="auto"/>
        <w:bottom w:val="none" w:sz="0" w:space="0" w:color="auto"/>
        <w:right w:val="none" w:sz="0" w:space="0" w:color="auto"/>
      </w:divBdr>
    </w:div>
    <w:div w:id="2004894069">
      <w:bodyDiv w:val="1"/>
      <w:marLeft w:val="0"/>
      <w:marRight w:val="0"/>
      <w:marTop w:val="0"/>
      <w:marBottom w:val="0"/>
      <w:divBdr>
        <w:top w:val="none" w:sz="0" w:space="0" w:color="auto"/>
        <w:left w:val="none" w:sz="0" w:space="0" w:color="auto"/>
        <w:bottom w:val="none" w:sz="0" w:space="0" w:color="auto"/>
        <w:right w:val="none" w:sz="0" w:space="0" w:color="auto"/>
      </w:divBdr>
    </w:div>
    <w:div w:id="2005745301">
      <w:bodyDiv w:val="1"/>
      <w:marLeft w:val="0"/>
      <w:marRight w:val="0"/>
      <w:marTop w:val="0"/>
      <w:marBottom w:val="0"/>
      <w:divBdr>
        <w:top w:val="none" w:sz="0" w:space="0" w:color="auto"/>
        <w:left w:val="none" w:sz="0" w:space="0" w:color="auto"/>
        <w:bottom w:val="none" w:sz="0" w:space="0" w:color="auto"/>
        <w:right w:val="none" w:sz="0" w:space="0" w:color="auto"/>
      </w:divBdr>
    </w:div>
    <w:div w:id="2021618528">
      <w:bodyDiv w:val="1"/>
      <w:marLeft w:val="0"/>
      <w:marRight w:val="0"/>
      <w:marTop w:val="0"/>
      <w:marBottom w:val="0"/>
      <w:divBdr>
        <w:top w:val="none" w:sz="0" w:space="0" w:color="auto"/>
        <w:left w:val="none" w:sz="0" w:space="0" w:color="auto"/>
        <w:bottom w:val="none" w:sz="0" w:space="0" w:color="auto"/>
        <w:right w:val="none" w:sz="0" w:space="0" w:color="auto"/>
      </w:divBdr>
    </w:div>
    <w:div w:id="2074236732">
      <w:bodyDiv w:val="1"/>
      <w:marLeft w:val="0"/>
      <w:marRight w:val="0"/>
      <w:marTop w:val="0"/>
      <w:marBottom w:val="0"/>
      <w:divBdr>
        <w:top w:val="none" w:sz="0" w:space="0" w:color="auto"/>
        <w:left w:val="none" w:sz="0" w:space="0" w:color="auto"/>
        <w:bottom w:val="none" w:sz="0" w:space="0" w:color="auto"/>
        <w:right w:val="none" w:sz="0" w:space="0" w:color="auto"/>
      </w:divBdr>
      <w:divsChild>
        <w:div w:id="1598908113">
          <w:marLeft w:val="0"/>
          <w:marRight w:val="0"/>
          <w:marTop w:val="0"/>
          <w:marBottom w:val="0"/>
          <w:divBdr>
            <w:top w:val="none" w:sz="0" w:space="0" w:color="auto"/>
            <w:left w:val="none" w:sz="0" w:space="0" w:color="auto"/>
            <w:bottom w:val="none" w:sz="0" w:space="0" w:color="auto"/>
            <w:right w:val="none" w:sz="0" w:space="0" w:color="auto"/>
          </w:divBdr>
          <w:divsChild>
            <w:div w:id="2142452769">
              <w:marLeft w:val="0"/>
              <w:marRight w:val="0"/>
              <w:marTop w:val="0"/>
              <w:marBottom w:val="0"/>
              <w:divBdr>
                <w:top w:val="none" w:sz="0" w:space="0" w:color="auto"/>
                <w:left w:val="none" w:sz="0" w:space="0" w:color="auto"/>
                <w:bottom w:val="none" w:sz="0" w:space="0" w:color="auto"/>
                <w:right w:val="none" w:sz="0" w:space="0" w:color="auto"/>
              </w:divBdr>
              <w:divsChild>
                <w:div w:id="1532650840">
                  <w:marLeft w:val="0"/>
                  <w:marRight w:val="0"/>
                  <w:marTop w:val="0"/>
                  <w:marBottom w:val="0"/>
                  <w:divBdr>
                    <w:top w:val="none" w:sz="0" w:space="0" w:color="auto"/>
                    <w:left w:val="none" w:sz="0" w:space="0" w:color="auto"/>
                    <w:bottom w:val="none" w:sz="0" w:space="0" w:color="auto"/>
                    <w:right w:val="none" w:sz="0" w:space="0" w:color="auto"/>
                  </w:divBdr>
                  <w:divsChild>
                    <w:div w:id="297149214">
                      <w:marLeft w:val="0"/>
                      <w:marRight w:val="0"/>
                      <w:marTop w:val="0"/>
                      <w:marBottom w:val="0"/>
                      <w:divBdr>
                        <w:top w:val="none" w:sz="0" w:space="0" w:color="auto"/>
                        <w:left w:val="none" w:sz="0" w:space="0" w:color="auto"/>
                        <w:bottom w:val="none" w:sz="0" w:space="0" w:color="auto"/>
                        <w:right w:val="none" w:sz="0" w:space="0" w:color="auto"/>
                      </w:divBdr>
                      <w:divsChild>
                        <w:div w:id="937296">
                          <w:marLeft w:val="0"/>
                          <w:marRight w:val="0"/>
                          <w:marTop w:val="0"/>
                          <w:marBottom w:val="0"/>
                          <w:divBdr>
                            <w:top w:val="none" w:sz="0" w:space="0" w:color="auto"/>
                            <w:left w:val="none" w:sz="0" w:space="0" w:color="auto"/>
                            <w:bottom w:val="none" w:sz="0" w:space="0" w:color="auto"/>
                            <w:right w:val="none" w:sz="0" w:space="0" w:color="auto"/>
                          </w:divBdr>
                          <w:divsChild>
                            <w:div w:id="426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c.org.br/CPC/Documentos-Emitidos/Pronunciamentos/Pronunciamento?Id=5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teses.usp.br/teses/disponiveis/12/12136/tde-25032013-161045/pt-br.php" TargetMode="External"/><Relationship Id="rId10" Type="http://schemas.openxmlformats.org/officeDocument/2006/relationships/hyperlink" Target="mailto:sulianirover@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manuellefgf@gmail.com" TargetMode="External"/><Relationship Id="rId14" Type="http://schemas.openxmlformats.org/officeDocument/2006/relationships/hyperlink" Target="http://www.cpc.org.br/CPC/Documentos-Emitidos/Pronunciamentos/Pronunciamento?Id=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D495-49D2-4C78-AFB0-42A25817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19</Pages>
  <Words>9841</Words>
  <Characters>53142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62858</CharactersWithSpaces>
  <SharedDoc>false</SharedDoc>
  <HLinks>
    <vt:vector size="18" baseType="variant">
      <vt:variant>
        <vt:i4>5898261</vt:i4>
      </vt:variant>
      <vt:variant>
        <vt:i4>33</vt:i4>
      </vt:variant>
      <vt:variant>
        <vt:i4>0</vt:i4>
      </vt:variant>
      <vt:variant>
        <vt:i4>5</vt:i4>
      </vt:variant>
      <vt:variant>
        <vt:lpwstr>http://www.teses.usp.br/teses/disponiveis/12/12136/tde-25032013-161045/pt-br.php</vt:lpwstr>
      </vt:variant>
      <vt:variant>
        <vt:lpwstr/>
      </vt:variant>
      <vt:variant>
        <vt:i4>2556024</vt:i4>
      </vt:variant>
      <vt:variant>
        <vt:i4>30</vt:i4>
      </vt:variant>
      <vt:variant>
        <vt:i4>0</vt:i4>
      </vt:variant>
      <vt:variant>
        <vt:i4>5</vt:i4>
      </vt:variant>
      <vt:variant>
        <vt:lpwstr>http://www.cpc.org.br/CPC/Documentos-Emitidos/Pronunciamentos/Pronunciamento?Id=80</vt:lpwstr>
      </vt:variant>
      <vt:variant>
        <vt:lpwstr/>
      </vt:variant>
      <vt:variant>
        <vt:i4>3014773</vt:i4>
      </vt:variant>
      <vt:variant>
        <vt:i4>27</vt:i4>
      </vt:variant>
      <vt:variant>
        <vt:i4>0</vt:i4>
      </vt:variant>
      <vt:variant>
        <vt:i4>5</vt:i4>
      </vt:variant>
      <vt:variant>
        <vt:lpwstr>http://www.cpc.org.br/CPC/Documentos-Emitidos/Pronunciamentos/Pronunciamento?Id=59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Emanuelle Frasson</cp:lastModifiedBy>
  <cp:revision>8</cp:revision>
  <dcterms:created xsi:type="dcterms:W3CDTF">2017-05-24T17:38:00Z</dcterms:created>
  <dcterms:modified xsi:type="dcterms:W3CDTF">2017-08-30T01:39:00Z</dcterms:modified>
</cp:coreProperties>
</file>